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6902" w14:textId="77777777" w:rsidR="00DF01BB" w:rsidRPr="00DF01BB" w:rsidRDefault="00DF01BB" w:rsidP="00DF01BB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DF01BB">
        <w:rPr>
          <w:rFonts w:ascii="標楷體" w:eastAsia="標楷體" w:hAnsi="標楷體" w:hint="eastAsia"/>
          <w:b/>
          <w:sz w:val="32"/>
          <w:u w:val="single"/>
        </w:rPr>
        <w:t>行政院農業委員會農田水利署桃園管理處</w:t>
      </w:r>
    </w:p>
    <w:p w14:paraId="5E10E3D6" w14:textId="05D7223B" w:rsidR="003F7A23" w:rsidRDefault="003F7A23" w:rsidP="00DF01BB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CD5C83">
        <w:rPr>
          <w:rFonts w:ascii="標楷體" w:eastAsia="標楷體" w:hAnsi="標楷體" w:hint="eastAsia"/>
          <w:b/>
          <w:sz w:val="32"/>
          <w:u w:val="single"/>
        </w:rPr>
        <w:t>11</w:t>
      </w:r>
      <w:r w:rsidR="00B039BB">
        <w:rPr>
          <w:rFonts w:ascii="標楷體" w:eastAsia="標楷體" w:hAnsi="標楷體" w:hint="eastAsia"/>
          <w:b/>
          <w:sz w:val="32"/>
          <w:u w:val="single"/>
        </w:rPr>
        <w:t>2</w:t>
      </w:r>
      <w:r w:rsidRPr="00CD5C83">
        <w:rPr>
          <w:rFonts w:ascii="標楷體" w:eastAsia="標楷體" w:hAnsi="標楷體" w:hint="eastAsia"/>
          <w:b/>
          <w:sz w:val="32"/>
          <w:u w:val="single"/>
        </w:rPr>
        <w:t>年度水利節表揚大會</w:t>
      </w:r>
      <w:r w:rsidR="00723628">
        <w:rPr>
          <w:rFonts w:ascii="標楷體" w:eastAsia="標楷體" w:hAnsi="標楷體" w:hint="eastAsia"/>
          <w:b/>
          <w:sz w:val="32"/>
          <w:u w:val="single"/>
        </w:rPr>
        <w:t>活動</w:t>
      </w:r>
      <w:r w:rsidRPr="00CD5C83">
        <w:rPr>
          <w:rFonts w:ascii="標楷體" w:eastAsia="標楷體" w:hAnsi="標楷體" w:hint="eastAsia"/>
          <w:b/>
          <w:sz w:val="32"/>
          <w:u w:val="single"/>
        </w:rPr>
        <w:t>採購案</w:t>
      </w:r>
    </w:p>
    <w:p w14:paraId="7F12ED38" w14:textId="766D66E2" w:rsidR="00DF01BB" w:rsidRPr="008A0954" w:rsidRDefault="00DF01BB" w:rsidP="00DF01BB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8A0954">
        <w:rPr>
          <w:rFonts w:ascii="標楷體" w:eastAsia="標楷體" w:hAnsi="標楷體" w:hint="eastAsia"/>
          <w:b/>
          <w:sz w:val="32"/>
          <w:u w:val="single"/>
        </w:rPr>
        <w:t>評</w:t>
      </w:r>
      <w:r>
        <w:rPr>
          <w:rFonts w:ascii="標楷體" w:eastAsia="標楷體" w:hAnsi="標楷體" w:hint="eastAsia"/>
          <w:b/>
          <w:sz w:val="32"/>
          <w:u w:val="single"/>
        </w:rPr>
        <w:t>審</w:t>
      </w:r>
      <w:r w:rsidRPr="008A0954">
        <w:rPr>
          <w:rFonts w:ascii="標楷體" w:eastAsia="標楷體" w:hAnsi="標楷體" w:hint="eastAsia"/>
          <w:b/>
          <w:sz w:val="32"/>
          <w:u w:val="single"/>
        </w:rPr>
        <w:t>須知</w:t>
      </w:r>
    </w:p>
    <w:p w14:paraId="14236CFD" w14:textId="0E4ECDB9" w:rsidR="00DF01BB" w:rsidRDefault="00DF01BB" w:rsidP="00DF01BB">
      <w:pPr>
        <w:numPr>
          <w:ilvl w:val="0"/>
          <w:numId w:val="1"/>
        </w:numPr>
        <w:adjustRightInd/>
        <w:spacing w:line="440" w:lineRule="exact"/>
        <w:jc w:val="both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投標廠商之</w:t>
      </w:r>
      <w:r w:rsidRPr="00DC7BD0">
        <w:rPr>
          <w:rFonts w:ascii="標楷體" w:eastAsia="標楷體" w:hAnsi="標楷體" w:hint="eastAsia"/>
          <w:sz w:val="28"/>
        </w:rPr>
        <w:t>資格</w:t>
      </w:r>
      <w:r>
        <w:rPr>
          <w:rFonts w:ascii="標楷體" w:eastAsia="標楷體" w:hAnsi="標楷體" w:hint="eastAsia"/>
          <w:sz w:val="28"/>
        </w:rPr>
        <w:t>及評審項目以外資料經</w:t>
      </w:r>
      <w:r w:rsidRPr="00DC7BD0">
        <w:rPr>
          <w:rFonts w:ascii="標楷體" w:eastAsia="標楷體" w:hAnsi="標楷體" w:hint="eastAsia"/>
          <w:sz w:val="28"/>
        </w:rPr>
        <w:t>審查</w:t>
      </w:r>
      <w:r>
        <w:rPr>
          <w:rFonts w:ascii="標楷體" w:eastAsia="標楷體" w:hAnsi="標楷體" w:hint="eastAsia"/>
          <w:sz w:val="28"/>
        </w:rPr>
        <w:t>合格者</w:t>
      </w:r>
      <w:r w:rsidRPr="00DC7BD0">
        <w:rPr>
          <w:rFonts w:ascii="標楷體" w:eastAsia="標楷體" w:hAnsi="標楷體" w:hint="eastAsia"/>
          <w:sz w:val="28"/>
        </w:rPr>
        <w:t>，其所提企劃書由本機關成立評審小組，依招標文件規定辦理</w:t>
      </w:r>
      <w:r w:rsidR="000B624A">
        <w:rPr>
          <w:rFonts w:ascii="標楷體" w:eastAsia="標楷體" w:hAnsi="標楷體" w:hint="eastAsia"/>
          <w:sz w:val="28"/>
        </w:rPr>
        <w:t>簡報及</w:t>
      </w:r>
      <w:r w:rsidRPr="00DC7BD0">
        <w:rPr>
          <w:rFonts w:ascii="標楷體" w:eastAsia="標楷體" w:hAnsi="標楷體" w:hint="eastAsia"/>
          <w:sz w:val="28"/>
        </w:rPr>
        <w:t>書面評審。</w:t>
      </w:r>
    </w:p>
    <w:p w14:paraId="2E18F243" w14:textId="77777777" w:rsidR="00DF01BB" w:rsidRDefault="00DF01BB" w:rsidP="00DF01BB">
      <w:pPr>
        <w:numPr>
          <w:ilvl w:val="0"/>
          <w:numId w:val="1"/>
        </w:numPr>
        <w:adjustRightInd/>
        <w:snapToGrid w:val="0"/>
        <w:spacing w:line="440" w:lineRule="exact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評審作業：</w:t>
      </w:r>
    </w:p>
    <w:p w14:paraId="0E12D1B4" w14:textId="19C16836" w:rsidR="00DF01BB" w:rsidRDefault="00DF01BB" w:rsidP="00DF01BB">
      <w:pPr>
        <w:tabs>
          <w:tab w:val="left" w:pos="6360"/>
          <w:tab w:val="left" w:pos="7740"/>
        </w:tabs>
        <w:snapToGrid w:val="0"/>
        <w:spacing w:line="440" w:lineRule="exact"/>
        <w:ind w:leftChars="408" w:left="1822" w:rightChars="28" w:right="67" w:hangingChars="301" w:hanging="843"/>
        <w:jc w:val="both"/>
        <w:rPr>
          <w:rFonts w:ascii="標楷體" w:eastAsia="標楷體" w:hAnsi="標楷體"/>
          <w:sz w:val="28"/>
        </w:rPr>
      </w:pPr>
      <w:r w:rsidRPr="00414D63">
        <w:rPr>
          <w:rFonts w:ascii="標楷體" w:eastAsia="標楷體" w:hAnsi="標楷體" w:hint="eastAsia"/>
          <w:sz w:val="28"/>
        </w:rPr>
        <w:t>（一）</w:t>
      </w:r>
      <w:r w:rsidRPr="005C3E21">
        <w:rPr>
          <w:rFonts w:ascii="標楷體" w:eastAsia="標楷體" w:hAnsi="標楷體" w:hint="eastAsia"/>
          <w:sz w:val="28"/>
        </w:rPr>
        <w:t>投標文件經審查合於招標文件規定者，始得為評</w:t>
      </w:r>
      <w:r>
        <w:rPr>
          <w:rFonts w:ascii="標楷體" w:eastAsia="標楷體" w:hAnsi="標楷體" w:hint="eastAsia"/>
          <w:sz w:val="28"/>
        </w:rPr>
        <w:t>審</w:t>
      </w:r>
      <w:r w:rsidRPr="005C3E21">
        <w:rPr>
          <w:rFonts w:ascii="標楷體" w:eastAsia="標楷體" w:hAnsi="標楷體" w:hint="eastAsia"/>
          <w:sz w:val="28"/>
        </w:rPr>
        <w:t>之對象。</w:t>
      </w:r>
    </w:p>
    <w:p w14:paraId="0303A64F" w14:textId="75D3A227" w:rsidR="00DF01BB" w:rsidRPr="005C3E21" w:rsidRDefault="00DF01BB" w:rsidP="00DF01BB">
      <w:pPr>
        <w:tabs>
          <w:tab w:val="left" w:pos="6360"/>
          <w:tab w:val="left" w:pos="7740"/>
        </w:tabs>
        <w:snapToGrid w:val="0"/>
        <w:spacing w:line="440" w:lineRule="exact"/>
        <w:ind w:leftChars="408" w:left="1822" w:rightChars="28" w:right="67" w:hangingChars="301" w:hanging="84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="008719E4" w:rsidRPr="005C3E21">
        <w:rPr>
          <w:rFonts w:ascii="標楷體" w:eastAsia="標楷體" w:hAnsi="標楷體" w:hint="eastAsia"/>
          <w:sz w:val="28"/>
        </w:rPr>
        <w:t>評</w:t>
      </w:r>
      <w:r w:rsidR="008719E4">
        <w:rPr>
          <w:rFonts w:ascii="標楷體" w:eastAsia="標楷體" w:hAnsi="標楷體" w:hint="eastAsia"/>
          <w:sz w:val="28"/>
        </w:rPr>
        <w:t>審小組除</w:t>
      </w:r>
      <w:r w:rsidR="008719E4" w:rsidRPr="005C3E21">
        <w:rPr>
          <w:rFonts w:ascii="標楷體" w:eastAsia="標楷體" w:hAnsi="標楷體" w:hint="eastAsia"/>
          <w:sz w:val="28"/>
        </w:rPr>
        <w:t>以書面審查進行評分</w:t>
      </w:r>
      <w:r w:rsidR="008719E4">
        <w:rPr>
          <w:rFonts w:ascii="標楷體" w:eastAsia="標楷體" w:hAnsi="標楷體" w:hint="eastAsia"/>
          <w:sz w:val="28"/>
        </w:rPr>
        <w:t>外</w:t>
      </w:r>
      <w:r w:rsidR="008719E4" w:rsidRPr="005C3E21">
        <w:rPr>
          <w:rFonts w:ascii="標楷體" w:eastAsia="標楷體" w:hAnsi="標楷體" w:hint="eastAsia"/>
          <w:sz w:val="28"/>
        </w:rPr>
        <w:t>，</w:t>
      </w:r>
      <w:r w:rsidR="008719E4">
        <w:rPr>
          <w:rFonts w:ascii="標楷體" w:eastAsia="標楷體" w:hAnsi="標楷體" w:hint="eastAsia"/>
          <w:sz w:val="28"/>
        </w:rPr>
        <w:t>亦須</w:t>
      </w:r>
      <w:r w:rsidR="008719E4" w:rsidRPr="005C3E21">
        <w:rPr>
          <w:rFonts w:ascii="標楷體" w:eastAsia="標楷體" w:hAnsi="標楷體" w:hint="eastAsia"/>
          <w:sz w:val="28"/>
        </w:rPr>
        <w:t>廠商</w:t>
      </w:r>
      <w:r w:rsidR="008719E4">
        <w:rPr>
          <w:rFonts w:ascii="標楷體" w:eastAsia="標楷體" w:hAnsi="標楷體" w:hint="eastAsia"/>
          <w:sz w:val="28"/>
        </w:rPr>
        <w:t>進行</w:t>
      </w:r>
      <w:r w:rsidR="008719E4" w:rsidRPr="005C3E21">
        <w:rPr>
          <w:rFonts w:ascii="標楷體" w:eastAsia="標楷體" w:hAnsi="標楷體" w:hint="eastAsia"/>
          <w:sz w:val="28"/>
        </w:rPr>
        <w:t>簡報。符合本案招標文件規定之廠商，</w:t>
      </w:r>
      <w:r w:rsidR="008719E4">
        <w:rPr>
          <w:rFonts w:ascii="標楷體" w:eastAsia="標楷體" w:hAnsi="標楷體" w:hint="eastAsia"/>
          <w:sz w:val="28"/>
        </w:rPr>
        <w:t>廠商應派員簡報並於現場候詢，</w:t>
      </w:r>
      <w:r w:rsidR="008719E4" w:rsidRPr="005C3E21">
        <w:rPr>
          <w:rFonts w:ascii="標楷體" w:eastAsia="標楷體" w:hAnsi="標楷體" w:hint="eastAsia"/>
          <w:sz w:val="28"/>
        </w:rPr>
        <w:t>本機關得</w:t>
      </w:r>
      <w:r w:rsidR="008719E4">
        <w:rPr>
          <w:rFonts w:ascii="標楷體" w:eastAsia="標楷體" w:hAnsi="標楷體" w:hint="eastAsia"/>
          <w:sz w:val="28"/>
        </w:rPr>
        <w:t>於審查時就該案進行現場詢問</w:t>
      </w:r>
      <w:r w:rsidR="008719E4" w:rsidRPr="005C3E21">
        <w:rPr>
          <w:rFonts w:ascii="標楷體" w:eastAsia="標楷體" w:hAnsi="標楷體" w:hint="eastAsia"/>
          <w:sz w:val="28"/>
        </w:rPr>
        <w:t>。</w:t>
      </w:r>
    </w:p>
    <w:p w14:paraId="0EC61B3A" w14:textId="7B1311B4" w:rsidR="00A44600" w:rsidRDefault="00DF01BB" w:rsidP="00B75CE6">
      <w:pPr>
        <w:numPr>
          <w:ilvl w:val="0"/>
          <w:numId w:val="1"/>
        </w:numPr>
        <w:adjustRightInd/>
        <w:spacing w:line="440" w:lineRule="exact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評審標準</w:t>
      </w:r>
    </w:p>
    <w:tbl>
      <w:tblPr>
        <w:tblW w:w="82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520"/>
        <w:gridCol w:w="3420"/>
        <w:gridCol w:w="2340"/>
      </w:tblGrid>
      <w:tr w:rsidR="003F7A23" w:rsidRPr="00F702AC" w14:paraId="5460F25F" w14:textId="77777777" w:rsidTr="00D0785C">
        <w:trPr>
          <w:tblHeader/>
        </w:trPr>
        <w:tc>
          <w:tcPr>
            <w:tcW w:w="2520" w:type="dxa"/>
            <w:shd w:val="clear" w:color="auto" w:fill="FFFFFF" w:themeFill="background1"/>
          </w:tcPr>
          <w:p w14:paraId="33618E38" w14:textId="77777777" w:rsidR="003F7A23" w:rsidRPr="00F702AC" w:rsidRDefault="003F7A23" w:rsidP="003B1449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702AC">
              <w:rPr>
                <w:rFonts w:eastAsia="標楷體" w:hAnsi="標楷體" w:hint="eastAsia"/>
                <w:sz w:val="28"/>
                <w:szCs w:val="28"/>
              </w:rPr>
              <w:t>評</w:t>
            </w:r>
            <w:r>
              <w:rPr>
                <w:rFonts w:eastAsia="標楷體" w:hAnsi="標楷體" w:hint="eastAsia"/>
                <w:sz w:val="28"/>
                <w:szCs w:val="28"/>
              </w:rPr>
              <w:t>審</w:t>
            </w:r>
            <w:r w:rsidRPr="00F702AC">
              <w:rPr>
                <w:rFonts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420" w:type="dxa"/>
            <w:shd w:val="clear" w:color="auto" w:fill="FFFFFF" w:themeFill="background1"/>
          </w:tcPr>
          <w:p w14:paraId="4099D5D5" w14:textId="5F06D4CD" w:rsidR="003F7A23" w:rsidRPr="00F702AC" w:rsidRDefault="003F7A23" w:rsidP="003B1449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評審</w:t>
            </w:r>
            <w:r w:rsidR="009E0704">
              <w:rPr>
                <w:rFonts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340" w:type="dxa"/>
            <w:shd w:val="clear" w:color="auto" w:fill="FFFFFF" w:themeFill="background1"/>
          </w:tcPr>
          <w:p w14:paraId="68AD1DE6" w14:textId="77777777" w:rsidR="003F7A23" w:rsidRPr="00F702AC" w:rsidRDefault="003F7A23" w:rsidP="003B1449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配分</w:t>
            </w:r>
          </w:p>
        </w:tc>
      </w:tr>
      <w:tr w:rsidR="00723628" w:rsidRPr="00F702AC" w14:paraId="30E1F293" w14:textId="77777777" w:rsidTr="00D0785C">
        <w:tc>
          <w:tcPr>
            <w:tcW w:w="2520" w:type="dxa"/>
            <w:shd w:val="clear" w:color="auto" w:fill="FFFFFF" w:themeFill="background1"/>
            <w:vAlign w:val="center"/>
          </w:tcPr>
          <w:p w14:paraId="263EFCFB" w14:textId="386AC4F0" w:rsidR="00723628" w:rsidRPr="00F702AC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廠商於服務項目之經驗、信譽、履約能力、未來執行本案專業團隊能力及應變處理能力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0353A876" w14:textId="7311EBD9" w:rsidR="00723628" w:rsidRPr="00F702AC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廠商於服務項目之經驗、信譽、履約能力、未來執行本案專業團隊能力及應變處理能力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B72743C" w14:textId="237EAF42" w:rsidR="00723628" w:rsidRPr="00F702AC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40</w:t>
            </w:r>
          </w:p>
        </w:tc>
      </w:tr>
      <w:tr w:rsidR="00723628" w:rsidRPr="00B75CE6" w14:paraId="39B44583" w14:textId="77777777" w:rsidTr="00D0785C">
        <w:tc>
          <w:tcPr>
            <w:tcW w:w="2520" w:type="dxa"/>
            <w:shd w:val="clear" w:color="auto" w:fill="FFFFFF" w:themeFill="background1"/>
            <w:vAlign w:val="center"/>
          </w:tcPr>
          <w:p w14:paraId="6723B489" w14:textId="47E26236" w:rsidR="00723628" w:rsidRPr="00F702AC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價格之合理性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11E691B0" w14:textId="52DE9053" w:rsidR="00723628" w:rsidRPr="00611334" w:rsidRDefault="00723628" w:rsidP="00723628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價格之合理性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56FB65F" w14:textId="08B14FA2" w:rsidR="00723628" w:rsidRPr="00B75CE6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</w:tr>
      <w:tr w:rsidR="00723628" w14:paraId="53A3E9AC" w14:textId="77777777" w:rsidTr="00D0785C">
        <w:tc>
          <w:tcPr>
            <w:tcW w:w="2520" w:type="dxa"/>
            <w:shd w:val="clear" w:color="auto" w:fill="FFFFFF" w:themeFill="background1"/>
            <w:vAlign w:val="center"/>
          </w:tcPr>
          <w:p w14:paraId="53DB74C0" w14:textId="2216EB34" w:rsidR="00723628" w:rsidRPr="003F60A5" w:rsidRDefault="00723628" w:rsidP="00723628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企劃書內容之完整性、可行性、創意性及對本服務事項之了解程度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251AD280" w14:textId="04EB80B7" w:rsidR="00723628" w:rsidRPr="0027254F" w:rsidRDefault="00723628" w:rsidP="00723628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企劃書內容之完整性、可行性、創意性及對本服務事項之了解程度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10A4FCB" w14:textId="27EE89DE" w:rsidR="00723628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</w:t>
            </w:r>
          </w:p>
        </w:tc>
      </w:tr>
      <w:tr w:rsidR="00723628" w14:paraId="28EF30BB" w14:textId="77777777" w:rsidTr="00D0785C">
        <w:tc>
          <w:tcPr>
            <w:tcW w:w="2520" w:type="dxa"/>
            <w:shd w:val="clear" w:color="auto" w:fill="FFFFFF" w:themeFill="background1"/>
            <w:vAlign w:val="center"/>
          </w:tcPr>
          <w:p w14:paraId="52485DE6" w14:textId="7CCC2638" w:rsidR="00723628" w:rsidRDefault="00723628" w:rsidP="00723628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廠商簡報及答詢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D472868" w14:textId="2F169F96" w:rsidR="00723628" w:rsidRDefault="00723628" w:rsidP="00723628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廠商簡報及答詢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DE5EE2D" w14:textId="02D4C652" w:rsidR="00723628" w:rsidRDefault="00723628" w:rsidP="00723628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</w:tr>
      <w:tr w:rsidR="003F7A23" w14:paraId="144D79BD" w14:textId="77777777" w:rsidTr="00D0785C">
        <w:tc>
          <w:tcPr>
            <w:tcW w:w="2520" w:type="dxa"/>
            <w:shd w:val="clear" w:color="auto" w:fill="FFFFFF" w:themeFill="background1"/>
          </w:tcPr>
          <w:p w14:paraId="3099128B" w14:textId="77777777" w:rsidR="003F7A23" w:rsidRPr="00B75CE6" w:rsidRDefault="003F7A23" w:rsidP="003B1449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3420" w:type="dxa"/>
            <w:shd w:val="clear" w:color="auto" w:fill="FFFFFF" w:themeFill="background1"/>
          </w:tcPr>
          <w:p w14:paraId="7B693BA1" w14:textId="77777777" w:rsidR="003F7A23" w:rsidRPr="00B75CE6" w:rsidRDefault="003F7A23" w:rsidP="003B1449">
            <w:pPr>
              <w:spacing w:before="120" w:line="0" w:lineRule="atLeas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F21873A" w14:textId="77777777" w:rsidR="003F7A23" w:rsidRDefault="003F7A23" w:rsidP="003B1449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</w:tbl>
    <w:p w14:paraId="259B191C" w14:textId="77777777" w:rsidR="003F7A23" w:rsidRPr="00B75CE6" w:rsidRDefault="003F7A23" w:rsidP="003F7A23">
      <w:pPr>
        <w:adjustRightInd/>
        <w:spacing w:line="440" w:lineRule="exact"/>
        <w:textAlignment w:val="auto"/>
        <w:rPr>
          <w:rFonts w:ascii="標楷體" w:eastAsia="標楷體" w:hAnsi="標楷體"/>
          <w:sz w:val="28"/>
        </w:rPr>
      </w:pPr>
    </w:p>
    <w:p w14:paraId="5F7917EC" w14:textId="4BDF8D48" w:rsidR="00B75CE6" w:rsidRPr="00B75CE6" w:rsidRDefault="009E0704" w:rsidP="00B75CE6">
      <w:pPr>
        <w:pStyle w:val="a4"/>
        <w:numPr>
          <w:ilvl w:val="0"/>
          <w:numId w:val="1"/>
        </w:numPr>
        <w:suppressAutoHyphens/>
        <w:autoSpaceDN w:val="0"/>
        <w:adjustRightInd/>
        <w:snapToGrid w:val="0"/>
        <w:spacing w:line="420" w:lineRule="exact"/>
        <w:ind w:leftChars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企劃書</w:t>
      </w:r>
      <w:r w:rsidR="00B75CE6" w:rsidRPr="00B75CE6">
        <w:rPr>
          <w:rFonts w:eastAsia="標楷體"/>
          <w:sz w:val="28"/>
        </w:rPr>
        <w:t>內容及格式：</w:t>
      </w:r>
    </w:p>
    <w:p w14:paraId="4397975E" w14:textId="77777777" w:rsidR="00B75CE6" w:rsidRDefault="00B75CE6" w:rsidP="00B75CE6">
      <w:pPr>
        <w:numPr>
          <w:ilvl w:val="1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內容</w:t>
      </w:r>
    </w:p>
    <w:p w14:paraId="2996DACD" w14:textId="1811943A" w:rsidR="00B75CE6" w:rsidRDefault="00B75CE6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</w:pPr>
      <w:r>
        <w:rPr>
          <w:rFonts w:eastAsia="標楷體"/>
          <w:sz w:val="28"/>
        </w:rPr>
        <w:t>包括之事項：詳評</w:t>
      </w:r>
      <w:r w:rsidR="003F7A23">
        <w:rPr>
          <w:rFonts w:eastAsia="標楷體" w:hint="eastAsia"/>
          <w:sz w:val="28"/>
        </w:rPr>
        <w:t>審</w:t>
      </w:r>
      <w:r>
        <w:rPr>
          <w:rFonts w:eastAsia="標楷體"/>
          <w:sz w:val="28"/>
        </w:rPr>
        <w:t>評分表</w:t>
      </w:r>
      <w:r>
        <w:rPr>
          <w:rFonts w:ascii="標楷體" w:eastAsia="標楷體" w:hAnsi="標楷體"/>
          <w:sz w:val="28"/>
        </w:rPr>
        <w:t>。</w:t>
      </w:r>
    </w:p>
    <w:p w14:paraId="1B54A24C" w14:textId="483A960C" w:rsidR="00B75CE6" w:rsidRDefault="009E0704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企劃書</w:t>
      </w:r>
      <w:r w:rsidR="00B75CE6">
        <w:rPr>
          <w:rFonts w:eastAsia="標楷體"/>
          <w:sz w:val="28"/>
        </w:rPr>
        <w:t>之內容及其他相關文件應以中文書寫；外文資料應譯為中文，但一般通用「術語」則不在此限。</w:t>
      </w:r>
    </w:p>
    <w:p w14:paraId="18E2FD73" w14:textId="77777777" w:rsidR="00B75CE6" w:rsidRDefault="00B75CE6" w:rsidP="00B75CE6">
      <w:pPr>
        <w:numPr>
          <w:ilvl w:val="1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格式：</w:t>
      </w:r>
    </w:p>
    <w:p w14:paraId="5721F553" w14:textId="77777777" w:rsidR="00B75CE6" w:rsidRDefault="00B75CE6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除</w:t>
      </w:r>
      <w:r>
        <w:rPr>
          <w:rFonts w:eastAsia="標楷體"/>
          <w:sz w:val="28"/>
        </w:rPr>
        <w:t>A3</w:t>
      </w:r>
      <w:r>
        <w:rPr>
          <w:rFonts w:eastAsia="標楷體"/>
          <w:sz w:val="28"/>
        </w:rPr>
        <w:t>尺寸繪製之必要圖說外，宜以</w:t>
      </w:r>
      <w:r>
        <w:rPr>
          <w:rFonts w:eastAsia="標楷體"/>
          <w:sz w:val="28"/>
        </w:rPr>
        <w:t>A4</w:t>
      </w:r>
      <w:r>
        <w:rPr>
          <w:rFonts w:eastAsia="標楷體"/>
          <w:sz w:val="28"/>
        </w:rPr>
        <w:t>紙張直式橫書繕打，並於左邊裝訂。</w:t>
      </w:r>
    </w:p>
    <w:p w14:paraId="4CCD551B" w14:textId="77777777" w:rsidR="00B75CE6" w:rsidRDefault="00B75CE6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</w:pPr>
      <w:r>
        <w:rPr>
          <w:rFonts w:eastAsia="標楷體"/>
          <w:sz w:val="28"/>
        </w:rPr>
        <w:t>不含封面、目錄及附件，頁數以</w:t>
      </w:r>
      <w:r>
        <w:rPr>
          <w:rFonts w:eastAsia="標楷體"/>
          <w:sz w:val="28"/>
          <w:u w:val="single"/>
        </w:rPr>
        <w:t>20</w:t>
      </w:r>
      <w:r>
        <w:rPr>
          <w:rFonts w:eastAsia="標楷體"/>
          <w:sz w:val="28"/>
        </w:rPr>
        <w:t>頁為原則。（單面印製一張計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頁，雙面印製一張計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頁）</w:t>
      </w:r>
    </w:p>
    <w:p w14:paraId="7C46D27C" w14:textId="7F426C1A" w:rsidR="00B75CE6" w:rsidRDefault="009E0704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</w:pPr>
      <w:r>
        <w:rPr>
          <w:rFonts w:eastAsia="標楷體"/>
          <w:sz w:val="28"/>
        </w:rPr>
        <w:lastRenderedPageBreak/>
        <w:t>企劃書</w:t>
      </w:r>
      <w:r w:rsidR="00B75CE6">
        <w:rPr>
          <w:rFonts w:eastAsia="標楷體"/>
          <w:sz w:val="28"/>
        </w:rPr>
        <w:t>應印製</w:t>
      </w:r>
      <w:r w:rsidR="00B75CE6">
        <w:rPr>
          <w:rFonts w:eastAsia="標楷體"/>
          <w:sz w:val="28"/>
          <w:u w:val="single"/>
        </w:rPr>
        <w:t>1</w:t>
      </w:r>
      <w:r w:rsidR="00EF78C0">
        <w:rPr>
          <w:rFonts w:eastAsia="標楷體"/>
          <w:sz w:val="28"/>
          <w:u w:val="single"/>
        </w:rPr>
        <w:t>2</w:t>
      </w:r>
      <w:r w:rsidR="00B75CE6">
        <w:rPr>
          <w:rFonts w:eastAsia="標楷體"/>
          <w:sz w:val="28"/>
        </w:rPr>
        <w:t>份。</w:t>
      </w:r>
    </w:p>
    <w:p w14:paraId="4405CB8B" w14:textId="77777777" w:rsidR="00B75CE6" w:rsidRDefault="00B75CE6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非固定價格或費率決標者，投標廠商應提出報價或報價組成內容，並依下列方式辦理：</w:t>
      </w:r>
    </w:p>
    <w:p w14:paraId="2D5E6DF0" w14:textId="7EDDF942" w:rsidR="00B75CE6" w:rsidRDefault="00B75CE6" w:rsidP="00B75CE6">
      <w:pPr>
        <w:numPr>
          <w:ilvl w:val="4"/>
          <w:numId w:val="3"/>
        </w:numPr>
        <w:tabs>
          <w:tab w:val="left" w:pos="-1928"/>
          <w:tab w:val="left" w:pos="-1876"/>
        </w:tabs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應檢附標單，並加蓋投標廠商及負責人印章。如標單與</w:t>
      </w:r>
      <w:r w:rsidR="009E0704">
        <w:rPr>
          <w:rFonts w:eastAsia="標楷體"/>
          <w:sz w:val="28"/>
        </w:rPr>
        <w:t>企劃書</w:t>
      </w:r>
      <w:r>
        <w:rPr>
          <w:rFonts w:eastAsia="標楷體"/>
          <w:sz w:val="28"/>
        </w:rPr>
        <w:t>報價組成內容不一致，以標單為準。</w:t>
      </w:r>
    </w:p>
    <w:p w14:paraId="1AAC4CE2" w14:textId="1B29592B" w:rsidR="00B75CE6" w:rsidRDefault="00B75CE6" w:rsidP="00B75CE6">
      <w:pPr>
        <w:numPr>
          <w:ilvl w:val="4"/>
          <w:numId w:val="3"/>
        </w:numPr>
        <w:tabs>
          <w:tab w:val="left" w:pos="-1928"/>
          <w:tab w:val="left" w:pos="-1876"/>
        </w:tabs>
        <w:suppressAutoHyphens/>
        <w:autoSpaceDN w:val="0"/>
        <w:adjustRightInd/>
        <w:snapToGrid w:val="0"/>
        <w:spacing w:line="420" w:lineRule="exact"/>
        <w:jc w:val="both"/>
      </w:pPr>
      <w:r>
        <w:rPr>
          <w:rFonts w:eastAsia="標楷體"/>
          <w:sz w:val="28"/>
        </w:rPr>
        <w:t>應於</w:t>
      </w:r>
      <w:r w:rsidR="009E0704">
        <w:rPr>
          <w:rFonts w:eastAsia="標楷體"/>
          <w:sz w:val="28"/>
        </w:rPr>
        <w:t>企劃書</w:t>
      </w:r>
      <w:r>
        <w:rPr>
          <w:rFonts w:eastAsia="標楷體"/>
          <w:sz w:val="28"/>
        </w:rPr>
        <w:t>中載明報價組成內容，書寫內容不得潦草。</w:t>
      </w:r>
    </w:p>
    <w:p w14:paraId="5F0E3285" w14:textId="1ECCFFB0" w:rsidR="00B75CE6" w:rsidRDefault="00B75CE6" w:rsidP="00B75CE6">
      <w:pPr>
        <w:numPr>
          <w:ilvl w:val="1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投標廠商所提供之</w:t>
      </w:r>
      <w:r w:rsidR="009E0704">
        <w:rPr>
          <w:rFonts w:eastAsia="標楷體"/>
          <w:sz w:val="28"/>
        </w:rPr>
        <w:t>企劃書</w:t>
      </w:r>
      <w:r>
        <w:rPr>
          <w:rFonts w:eastAsia="標楷體"/>
          <w:sz w:val="28"/>
        </w:rPr>
        <w:t>如有下列情形者，</w:t>
      </w:r>
      <w:r w:rsidR="00484757">
        <w:rPr>
          <w:rFonts w:eastAsia="標楷體"/>
          <w:sz w:val="28"/>
        </w:rPr>
        <w:t>評審</w:t>
      </w:r>
      <w:r>
        <w:rPr>
          <w:rFonts w:eastAsia="標楷體"/>
          <w:sz w:val="28"/>
        </w:rPr>
        <w:t>委員得視情形給予相對較低之分數或序位：</w:t>
      </w:r>
    </w:p>
    <w:p w14:paraId="3EB50FE7" w14:textId="2DA96FE1" w:rsidR="00B75CE6" w:rsidRDefault="00B75CE6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所製作</w:t>
      </w:r>
      <w:r w:rsidR="009E0704">
        <w:rPr>
          <w:rFonts w:eastAsia="標楷體"/>
          <w:sz w:val="28"/>
        </w:rPr>
        <w:t>企劃書</w:t>
      </w:r>
      <w:r>
        <w:rPr>
          <w:rFonts w:eastAsia="標楷體"/>
          <w:sz w:val="28"/>
        </w:rPr>
        <w:t>內容、格式，未依照本機關建議內容、格式填具者。</w:t>
      </w:r>
    </w:p>
    <w:p w14:paraId="432FE6DC" w14:textId="2383D67D" w:rsidR="00B75CE6" w:rsidRDefault="009E0704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企劃書</w:t>
      </w:r>
      <w:r w:rsidR="00B75CE6">
        <w:rPr>
          <w:rFonts w:eastAsia="標楷體"/>
          <w:sz w:val="28"/>
        </w:rPr>
        <w:t>所載之價格與標單之價格不一致者。</w:t>
      </w:r>
    </w:p>
    <w:p w14:paraId="2BCB8E74" w14:textId="02016B8C" w:rsidR="00B75CE6" w:rsidRDefault="009E0704" w:rsidP="00B75CE6">
      <w:pPr>
        <w:numPr>
          <w:ilvl w:val="2"/>
          <w:numId w:val="3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企劃書</w:t>
      </w:r>
      <w:r w:rsidR="00B75CE6">
        <w:rPr>
          <w:rFonts w:eastAsia="標楷體"/>
          <w:sz w:val="28"/>
        </w:rPr>
        <w:t>所附之文件不足，或所附文件不足以證明所服務之內容者。</w:t>
      </w:r>
    </w:p>
    <w:p w14:paraId="12E3D5F9" w14:textId="1065AF02" w:rsidR="00B75CE6" w:rsidRDefault="00B75CE6" w:rsidP="00B75CE6">
      <w:pPr>
        <w:pStyle w:val="a4"/>
        <w:numPr>
          <w:ilvl w:val="1"/>
          <w:numId w:val="3"/>
        </w:numPr>
        <w:suppressAutoHyphens/>
        <w:autoSpaceDN w:val="0"/>
        <w:adjustRightInd/>
        <w:snapToGrid w:val="0"/>
        <w:spacing w:line="420" w:lineRule="exact"/>
        <w:ind w:leftChars="0"/>
        <w:jc w:val="both"/>
        <w:rPr>
          <w:rFonts w:eastAsia="標楷體"/>
          <w:sz w:val="28"/>
        </w:rPr>
      </w:pPr>
      <w:r w:rsidRPr="00B75CE6">
        <w:rPr>
          <w:rFonts w:eastAsia="標楷體"/>
          <w:sz w:val="28"/>
        </w:rPr>
        <w:t>投標廠商於</w:t>
      </w:r>
      <w:r w:rsidR="009E0704">
        <w:rPr>
          <w:rFonts w:eastAsia="標楷體"/>
          <w:sz w:val="28"/>
        </w:rPr>
        <w:t>企劃書</w:t>
      </w:r>
      <w:r w:rsidRPr="00B75CE6">
        <w:rPr>
          <w:rFonts w:eastAsia="標楷體"/>
          <w:sz w:val="28"/>
        </w:rPr>
        <w:t>中引用相關書籍、資料，應加註引用之出處，若未予登載，造成</w:t>
      </w:r>
      <w:r w:rsidR="009E0704">
        <w:rPr>
          <w:rFonts w:eastAsia="標楷體"/>
          <w:sz w:val="28"/>
        </w:rPr>
        <w:t>企劃書</w:t>
      </w:r>
      <w:r w:rsidRPr="00B75CE6">
        <w:rPr>
          <w:rFonts w:eastAsia="標楷體"/>
          <w:sz w:val="28"/>
        </w:rPr>
        <w:t>內容與其他廠商有雷同之處，</w:t>
      </w:r>
      <w:r w:rsidR="00484757">
        <w:rPr>
          <w:rFonts w:eastAsia="標楷體"/>
          <w:sz w:val="28"/>
        </w:rPr>
        <w:t>評審</w:t>
      </w:r>
      <w:r w:rsidRPr="00B75CE6">
        <w:rPr>
          <w:rFonts w:eastAsia="標楷體"/>
          <w:sz w:val="28"/>
        </w:rPr>
        <w:t>委員得視抄襲之情形，給予相對較低之分數或直接將其列為不合格廠商。</w:t>
      </w:r>
    </w:p>
    <w:p w14:paraId="19F6291B" w14:textId="5E83D2D2" w:rsidR="00B75CE6" w:rsidRPr="00B75CE6" w:rsidRDefault="00484757" w:rsidP="00B75CE6">
      <w:pPr>
        <w:pStyle w:val="a4"/>
        <w:numPr>
          <w:ilvl w:val="0"/>
          <w:numId w:val="1"/>
        </w:numPr>
        <w:suppressAutoHyphens/>
        <w:autoSpaceDN w:val="0"/>
        <w:adjustRightInd/>
        <w:snapToGrid w:val="0"/>
        <w:spacing w:line="420" w:lineRule="exact"/>
        <w:ind w:leftChars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評審</w:t>
      </w:r>
      <w:r w:rsidR="00B75CE6" w:rsidRPr="00B75CE6">
        <w:rPr>
          <w:rFonts w:eastAsia="標楷體"/>
          <w:sz w:val="28"/>
        </w:rPr>
        <w:t>作業流程</w:t>
      </w:r>
    </w:p>
    <w:p w14:paraId="1393AF3A" w14:textId="47B2C3B0" w:rsidR="00B75CE6" w:rsidRDefault="0027254F" w:rsidP="00B75CE6">
      <w:pPr>
        <w:snapToGrid w:val="0"/>
        <w:spacing w:line="420" w:lineRule="exact"/>
        <w:ind w:left="3290" w:hanging="2450"/>
        <w:jc w:val="both"/>
      </w:pPr>
      <w:r>
        <w:rPr>
          <w:rFonts w:ascii="標楷體" w:eastAsia="標楷體" w:hAnsi="標楷體"/>
          <w:sz w:val="28"/>
        </w:rPr>
        <w:t>□</w:t>
      </w:r>
      <w:r w:rsidR="00B75CE6">
        <w:rPr>
          <w:rFonts w:eastAsia="標楷體"/>
          <w:sz w:val="28"/>
        </w:rPr>
        <w:t>不需現場簡報詢答：由</w:t>
      </w:r>
      <w:r w:rsidR="00484757">
        <w:rPr>
          <w:rFonts w:eastAsia="標楷體"/>
          <w:sz w:val="28"/>
        </w:rPr>
        <w:t>評審</w:t>
      </w:r>
      <w:r w:rsidR="00B75CE6">
        <w:rPr>
          <w:rFonts w:eastAsia="標楷體"/>
          <w:sz w:val="28"/>
        </w:rPr>
        <w:t>委員就</w:t>
      </w:r>
      <w:r w:rsidR="009E0704">
        <w:rPr>
          <w:rFonts w:eastAsia="標楷體"/>
          <w:sz w:val="28"/>
        </w:rPr>
        <w:t>企劃書</w:t>
      </w:r>
      <w:r w:rsidR="00B75CE6">
        <w:rPr>
          <w:rFonts w:eastAsia="標楷體"/>
          <w:sz w:val="28"/>
        </w:rPr>
        <w:t>內容逕行評分</w:t>
      </w:r>
      <w:r w:rsidR="00B75CE6">
        <w:rPr>
          <w:rFonts w:ascii="標楷體" w:eastAsia="標楷體" w:hAnsi="標楷體" w:hint="eastAsia"/>
          <w:sz w:val="28"/>
        </w:rPr>
        <w:t>廠商應派員於現場候詢，</w:t>
      </w:r>
      <w:r w:rsidR="00B75CE6" w:rsidRPr="005C3E21">
        <w:rPr>
          <w:rFonts w:ascii="標楷體" w:eastAsia="標楷體" w:hAnsi="標楷體" w:hint="eastAsia"/>
          <w:sz w:val="28"/>
        </w:rPr>
        <w:t>本機關得</w:t>
      </w:r>
      <w:r w:rsidR="00B75CE6">
        <w:rPr>
          <w:rFonts w:ascii="標楷體" w:eastAsia="標楷體" w:hAnsi="標楷體" w:hint="eastAsia"/>
          <w:sz w:val="28"/>
        </w:rPr>
        <w:t>於審查時就該案進行現場詢問，未派員者視同放棄答辯權利，廠商不得於審查結束後就該事項表達異議</w:t>
      </w:r>
      <w:r w:rsidR="00B75CE6">
        <w:rPr>
          <w:rFonts w:eastAsia="標楷體"/>
          <w:sz w:val="28"/>
        </w:rPr>
        <w:t>。</w:t>
      </w:r>
    </w:p>
    <w:p w14:paraId="23B60350" w14:textId="427E6CEB" w:rsidR="00B75CE6" w:rsidRDefault="0027254F" w:rsidP="00B75CE6">
      <w:pPr>
        <w:snapToGrid w:val="0"/>
        <w:spacing w:line="420" w:lineRule="exact"/>
        <w:ind w:left="3192" w:hanging="2352"/>
        <w:jc w:val="both"/>
      </w:pPr>
      <w:r>
        <w:rPr>
          <w:rFonts w:ascii="標楷體" w:eastAsia="標楷體" w:hAnsi="標楷體"/>
          <w:b/>
          <w:color w:val="FF0000"/>
        </w:rPr>
        <w:t>▓</w:t>
      </w:r>
      <w:r w:rsidR="00B75CE6">
        <w:rPr>
          <w:rFonts w:eastAsia="標楷體"/>
          <w:sz w:val="28"/>
        </w:rPr>
        <w:t>需現場簡報詢答：</w:t>
      </w:r>
    </w:p>
    <w:p w14:paraId="18A9D33B" w14:textId="56309690" w:rsidR="00B75CE6" w:rsidRDefault="00B75CE6" w:rsidP="00B75CE6">
      <w:pPr>
        <w:numPr>
          <w:ilvl w:val="0"/>
          <w:numId w:val="4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參選廠商於</w:t>
      </w:r>
      <w:r w:rsidR="00484757">
        <w:rPr>
          <w:rFonts w:eastAsia="標楷體"/>
          <w:sz w:val="28"/>
        </w:rPr>
        <w:t>評審</w:t>
      </w:r>
      <w:r>
        <w:rPr>
          <w:rFonts w:eastAsia="標楷體"/>
          <w:sz w:val="28"/>
        </w:rPr>
        <w:t>會時應派計劃主持人或相關人員出席簡報，簡報之先後次序，</w:t>
      </w:r>
      <w:r w:rsidR="00484757">
        <w:rPr>
          <w:rFonts w:eastAsia="標楷體" w:hint="eastAsia"/>
          <w:sz w:val="28"/>
        </w:rPr>
        <w:t>依資格審查時廠商編號決定之</w:t>
      </w:r>
      <w:r>
        <w:rPr>
          <w:rFonts w:eastAsia="標楷體"/>
          <w:sz w:val="28"/>
        </w:rPr>
        <w:t>。計劃主持人未出席簡報，</w:t>
      </w:r>
      <w:r w:rsidR="00484757">
        <w:rPr>
          <w:rFonts w:eastAsia="標楷體"/>
          <w:sz w:val="28"/>
        </w:rPr>
        <w:t>評審</w:t>
      </w:r>
      <w:r>
        <w:rPr>
          <w:rFonts w:eastAsia="標楷體"/>
          <w:sz w:val="28"/>
        </w:rPr>
        <w:t>委員得視情形酌予扣分。</w:t>
      </w:r>
    </w:p>
    <w:p w14:paraId="461936A1" w14:textId="77777777" w:rsidR="00B75CE6" w:rsidRDefault="00B75CE6" w:rsidP="00B75CE6">
      <w:pPr>
        <w:numPr>
          <w:ilvl w:val="0"/>
          <w:numId w:val="4"/>
        </w:num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廠商簡報時，其列席人數不得超過</w:t>
      </w:r>
      <w:r>
        <w:rPr>
          <w:rFonts w:eastAsia="標楷體"/>
          <w:sz w:val="28"/>
        </w:rPr>
        <w:t>5</w:t>
      </w:r>
      <w:r>
        <w:rPr>
          <w:rFonts w:eastAsia="標楷體"/>
          <w:sz w:val="28"/>
        </w:rPr>
        <w:t>人，其他非簡報廠商應先退場。前一廠商簡報結束後，下一順位之廠商若經本機關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次唱名仍無法進行現場簡報者，其簡報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部分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評分以零分計算。</w:t>
      </w:r>
    </w:p>
    <w:p w14:paraId="5051A12B" w14:textId="7E3807B8" w:rsidR="00B75CE6" w:rsidRDefault="00B75CE6" w:rsidP="00A758FC">
      <w:pPr>
        <w:snapToGrid w:val="0"/>
        <w:spacing w:line="420" w:lineRule="exact"/>
        <w:ind w:left="1843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簡報時間為</w:t>
      </w:r>
      <w:r>
        <w:rPr>
          <w:rFonts w:eastAsia="標楷體"/>
          <w:sz w:val="28"/>
          <w:u w:val="single"/>
        </w:rPr>
        <w:t xml:space="preserve"> </w:t>
      </w:r>
      <w:r w:rsidR="0027254F">
        <w:rPr>
          <w:rFonts w:eastAsia="標楷體" w:hint="eastAsia"/>
          <w:sz w:val="28"/>
          <w:u w:val="single"/>
        </w:rPr>
        <w:t>5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</w:rPr>
        <w:t>分鐘，答詢時間以</w:t>
      </w:r>
      <w:r>
        <w:rPr>
          <w:rFonts w:eastAsia="標楷體"/>
          <w:sz w:val="28"/>
          <w:u w:val="single"/>
        </w:rPr>
        <w:t xml:space="preserve"> </w:t>
      </w:r>
      <w:r w:rsidR="0027254F">
        <w:rPr>
          <w:rFonts w:eastAsia="標楷體" w:hint="eastAsia"/>
          <w:sz w:val="28"/>
          <w:u w:val="single"/>
        </w:rPr>
        <w:t>10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分鐘為原則，</w:t>
      </w:r>
      <w:r w:rsidR="00484757">
        <w:rPr>
          <w:rFonts w:eastAsia="標楷體"/>
          <w:sz w:val="28"/>
        </w:rPr>
        <w:t>評審</w:t>
      </w:r>
      <w:r>
        <w:rPr>
          <w:rFonts w:eastAsia="標楷體"/>
          <w:sz w:val="28"/>
        </w:rPr>
        <w:t>委員於</w:t>
      </w:r>
      <w:r w:rsidR="00484757">
        <w:rPr>
          <w:rFonts w:eastAsia="標楷體"/>
          <w:sz w:val="28"/>
        </w:rPr>
        <w:t>評審</w:t>
      </w:r>
      <w:r>
        <w:rPr>
          <w:rFonts w:eastAsia="標楷體"/>
          <w:sz w:val="28"/>
        </w:rPr>
        <w:t>中得就參選廠商之資歷、所提書面資料及簡報有關內容提出詢問，參選廠商列席人員僅得就該詢問事項發言。</w:t>
      </w:r>
    </w:p>
    <w:p w14:paraId="217C15FF" w14:textId="77777777" w:rsidR="00824CD0" w:rsidRDefault="00824CD0" w:rsidP="00824CD0">
      <w:pPr>
        <w:suppressAutoHyphens/>
        <w:autoSpaceDN w:val="0"/>
        <w:adjustRightInd/>
        <w:snapToGrid w:val="0"/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(3) </w:t>
      </w:r>
      <w:r>
        <w:rPr>
          <w:rFonts w:ascii="標楷體" w:eastAsia="標楷體" w:hAnsi="標楷體"/>
          <w:sz w:val="28"/>
        </w:rPr>
        <w:t>如投標廠商超過五家，則簡報時間縮短至3分鐘，答詢時間縮短至</w:t>
      </w:r>
    </w:p>
    <w:p w14:paraId="64FF560F" w14:textId="08C7527B" w:rsidR="00824CD0" w:rsidRDefault="00824CD0" w:rsidP="00824CD0">
      <w:pPr>
        <w:suppressAutoHyphens/>
        <w:autoSpaceDN w:val="0"/>
        <w:adjustRightInd/>
        <w:snapToGrid w:val="0"/>
        <w:spacing w:line="420" w:lineRule="exact"/>
        <w:jc w:val="both"/>
      </w:pPr>
      <w:r>
        <w:rPr>
          <w:rFonts w:ascii="標楷體" w:eastAsia="標楷體" w:hAnsi="標楷體" w:hint="eastAsia"/>
          <w:sz w:val="28"/>
        </w:rPr>
        <w:t xml:space="preserve">             </w:t>
      </w:r>
      <w:r>
        <w:rPr>
          <w:rFonts w:ascii="標楷體" w:eastAsia="標楷體" w:hAnsi="標楷體"/>
          <w:sz w:val="28"/>
        </w:rPr>
        <w:t>5分鐘。</w:t>
      </w:r>
    </w:p>
    <w:p w14:paraId="4F512129" w14:textId="77777777" w:rsidR="00B75CE6" w:rsidRPr="00B75CE6" w:rsidRDefault="00B75CE6" w:rsidP="00824CD0">
      <w:pPr>
        <w:suppressAutoHyphens/>
        <w:autoSpaceDN w:val="0"/>
        <w:adjustRightInd/>
        <w:snapToGrid w:val="0"/>
        <w:spacing w:line="420" w:lineRule="exact"/>
        <w:jc w:val="both"/>
        <w:rPr>
          <w:rFonts w:eastAsia="標楷體"/>
          <w:sz w:val="28"/>
        </w:rPr>
      </w:pPr>
    </w:p>
    <w:p w14:paraId="7CB02965" w14:textId="323D9D9A" w:rsidR="00DF01BB" w:rsidRPr="00484757" w:rsidRDefault="00DF01BB" w:rsidP="00484757">
      <w:pPr>
        <w:numPr>
          <w:ilvl w:val="0"/>
          <w:numId w:val="1"/>
        </w:numPr>
        <w:adjustRightInd/>
        <w:spacing w:line="440" w:lineRule="exact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廠商評審方式：</w:t>
      </w:r>
    </w:p>
    <w:p w14:paraId="2665E346" w14:textId="5F32413A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="680" w:right="6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color w:val="FF0000"/>
        </w:rPr>
        <w:t>▓</w:t>
      </w:r>
      <w:r>
        <w:rPr>
          <w:rFonts w:ascii="標楷體" w:eastAsia="標楷體" w:hAnsi="標楷體" w:hint="eastAsia"/>
          <w:sz w:val="28"/>
        </w:rPr>
        <w:t>序位法</w:t>
      </w:r>
    </w:p>
    <w:p w14:paraId="2DCCCB33" w14:textId="319CF15C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（一）評審委員就廠商資料、評審項目逐項討論後，由各評審委員辦理序位評比，就個別廠商各評審項目及</w:t>
      </w:r>
      <w:r w:rsidR="00A758FC">
        <w:rPr>
          <w:rFonts w:ascii="標楷體" w:eastAsia="標楷體" w:hAnsi="標楷體" w:hint="eastAsia"/>
          <w:sz w:val="28"/>
        </w:rPr>
        <w:t>內容</w:t>
      </w:r>
      <w:r>
        <w:rPr>
          <w:rFonts w:ascii="標楷體" w:eastAsia="標楷體" w:hAnsi="標楷體" w:hint="eastAsia"/>
          <w:sz w:val="28"/>
        </w:rPr>
        <w:t>分別評分後予以加總，</w:t>
      </w:r>
      <w:r>
        <w:rPr>
          <w:rFonts w:ascii="標楷體" w:eastAsia="標楷體" w:hAnsi="標楷體" w:hint="eastAsia"/>
          <w:sz w:val="28"/>
        </w:rPr>
        <w:lastRenderedPageBreak/>
        <w:t>並依加總分數高低轉換為序位。個別廠商之平均總評分（計算至小數點以下二位數，小數點以下第三位四捨五入），未達70分者不得列為議價對象。若所有廠商平均總評分均未達70分時，則符合需要廠商從缺並廢標。</w:t>
      </w:r>
    </w:p>
    <w:p w14:paraId="249C240B" w14:textId="374B7EEB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（二）評審委員於各評審項目及</w:t>
      </w:r>
      <w:r w:rsidR="00A758FC">
        <w:rPr>
          <w:rFonts w:ascii="標楷體" w:eastAsia="標楷體" w:hAnsi="標楷體" w:hint="eastAsia"/>
          <w:sz w:val="28"/>
        </w:rPr>
        <w:t>內容</w:t>
      </w:r>
      <w:r>
        <w:rPr>
          <w:rFonts w:ascii="標楷體" w:eastAsia="標楷體" w:hAnsi="標楷體" w:hint="eastAsia"/>
          <w:sz w:val="28"/>
        </w:rPr>
        <w:t>之評分加總轉換為序位後，彙整合計各廠商之序位，以平均總評分在70分以上之序位合計值最低廠商為第1名，且經出席評審委員過半數之決定者為符合需要廠商。平均總評分在70分以上之第2名以後廠商，且經出席評審委員過半數之決定者，亦得列為符合需要廠商。</w:t>
      </w:r>
    </w:p>
    <w:p w14:paraId="151F7C89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（三）符合需要廠商為1家者，以議價方式辦理；符合需要廠商在2家以上者，以依序議價方式辦理。如有2家（含）以上符合需要廠商序位合計值相同者，其議價順序為：</w:t>
      </w:r>
    </w:p>
    <w:p w14:paraId="73F952A2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774" w:left="2141" w:rightChars="28" w:right="67" w:hangingChars="10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1.招標文件已訂明固定服務費用或費率者，參考「最有利標評選辦法」第15條之1規定，辦理方式如下（擇一勾選；未勾選者，為選項〈1〉）：</w:t>
      </w:r>
    </w:p>
    <w:p w14:paraId="3EE3F9E7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(1)□對序位合計值相同廠商再行綜合評審一次，以序位合計值最低者優先議價。綜合評審後之序位合計值仍相同者，抽籤決定之。</w:t>
      </w:r>
    </w:p>
    <w:p w14:paraId="4AF6DFDE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(2)□擇配分最高之評審項目之得分合計值較高者優先議價。得分仍相同者，抽籤決定之。</w:t>
      </w:r>
    </w:p>
    <w:p w14:paraId="7BF73664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(3)□擇獲得評審委員評定序位第一較多者優先議價；仍相同者，抽籤決定之。</w:t>
      </w:r>
    </w:p>
    <w:p w14:paraId="55EE8600" w14:textId="1CE667C4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774" w:left="2101" w:rightChars="28" w:right="67" w:hangingChars="101" w:hanging="24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color w:val="FF0000"/>
        </w:rPr>
        <w:t>▓</w:t>
      </w:r>
      <w:r>
        <w:rPr>
          <w:rFonts w:ascii="標楷體" w:eastAsia="標楷體" w:hAnsi="標楷體" w:hint="eastAsia"/>
          <w:sz w:val="28"/>
        </w:rPr>
        <w:t>2.招標文件未訂明固定服務費用或費率者，以標價低者優先議價。該等廠商報價仍相同者，參考「最有利標評選辦法」第15條之1規定，辦理方式如下（擇一勾選；未勾選者，為選項〈1〉）：</w:t>
      </w:r>
    </w:p>
    <w:p w14:paraId="3A978897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(1)□對序位合計值相同廠商再行綜合評審一次，以序位合計值最低者優先議價。綜合評審後之序位合計值仍相同者，抽籤決定之。</w:t>
      </w:r>
    </w:p>
    <w:p w14:paraId="625FD37B" w14:textId="729D7034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>
        <w:rPr>
          <w:rFonts w:ascii="標楷體" w:eastAsia="標楷體" w:hAnsi="標楷體"/>
          <w:b/>
          <w:color w:val="FF0000"/>
        </w:rPr>
        <w:t>▓</w:t>
      </w:r>
      <w:r>
        <w:rPr>
          <w:rFonts w:ascii="標楷體" w:eastAsia="標楷體" w:hAnsi="標楷體" w:hint="eastAsia"/>
          <w:sz w:val="28"/>
        </w:rPr>
        <w:t>擇配分最高之評審項目之得分合計值較高者優先議價。得分仍相同者，抽籤決定之。</w:t>
      </w:r>
    </w:p>
    <w:p w14:paraId="11411298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975" w:left="2774" w:rightChars="28" w:right="67" w:hangingChars="155" w:hanging="4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>
        <w:rPr>
          <w:rFonts w:ascii="標楷體" w:eastAsia="標楷體" w:hAnsi="標楷體" w:hint="eastAsia"/>
          <w:b/>
          <w:sz w:val="28"/>
        </w:rPr>
        <w:t>□</w:t>
      </w:r>
      <w:r>
        <w:rPr>
          <w:rFonts w:ascii="標楷體" w:eastAsia="標楷體" w:hAnsi="標楷體" w:hint="eastAsia"/>
          <w:sz w:val="28"/>
        </w:rPr>
        <w:t>擇獲得評審委員評定序位第一較多者優先議價；仍相同者，抽籤決定之。</w:t>
      </w:r>
    </w:p>
    <w:p w14:paraId="0872FCD5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（四）評審委員評審評分表及評審總表如附件。</w:t>
      </w:r>
    </w:p>
    <w:p w14:paraId="3E5A1FEA" w14:textId="77777777" w:rsidR="00B039BB" w:rsidRDefault="00B039BB" w:rsidP="00B039BB">
      <w:pPr>
        <w:numPr>
          <w:ilvl w:val="0"/>
          <w:numId w:val="6"/>
        </w:numPr>
        <w:adjustRightInd/>
        <w:spacing w:line="440" w:lineRule="exact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補充說明及規定：</w:t>
      </w:r>
    </w:p>
    <w:p w14:paraId="2287381D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（一）投標文件澄清：投標文件如有需投標廠商說明者，將依政府採購法第51條及其施行細則第60條辦理。</w:t>
      </w:r>
    </w:p>
    <w:p w14:paraId="38807DC9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（二）評審小組委員名單保密規定（擇一勾選）</w:t>
      </w:r>
    </w:p>
    <w:p w14:paraId="34666C46" w14:textId="5BA012CC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774" w:left="2101" w:rightChars="28" w:right="67" w:hangingChars="101" w:hanging="24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color w:val="FF0000"/>
        </w:rPr>
        <w:t>▓</w:t>
      </w:r>
      <w:r>
        <w:rPr>
          <w:rFonts w:ascii="標楷體" w:eastAsia="標楷體" w:hAnsi="標楷體" w:hint="eastAsia"/>
          <w:sz w:val="28"/>
        </w:rPr>
        <w:t>本案於主管機關指定之資訊網站公開評審委員名單（網址：http：//web.pcc.gov.tw）。</w:t>
      </w:r>
    </w:p>
    <w:p w14:paraId="5854949E" w14:textId="77777777" w:rsidR="00B039BB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774" w:left="2141" w:rightChars="28" w:right="67" w:hangingChars="10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□本案經機關衡酌個案特性及實際需要，不予公開評審委員名單，該名單於開始評審前予以保密。廠商不得探詢委員名單。</w:t>
      </w:r>
    </w:p>
    <w:p w14:paraId="3FD64D69" w14:textId="77777777" w:rsidR="00B039BB" w:rsidRPr="0078666C" w:rsidRDefault="00B039BB" w:rsidP="00B039BB">
      <w:pPr>
        <w:tabs>
          <w:tab w:val="left" w:pos="6360"/>
          <w:tab w:val="left" w:pos="7740"/>
        </w:tabs>
        <w:snapToGrid w:val="0"/>
        <w:spacing w:line="440" w:lineRule="exact"/>
        <w:ind w:leftChars="408" w:left="1822" w:rightChars="28" w:right="67" w:hangingChars="301" w:hanging="843"/>
        <w:jc w:val="both"/>
        <w:rPr>
          <w:rFonts w:ascii="標楷體" w:eastAsia="標楷體" w:hAnsi="標楷體"/>
          <w:strike/>
          <w:sz w:val="28"/>
        </w:rPr>
      </w:pPr>
      <w:r w:rsidRPr="0078666C">
        <w:rPr>
          <w:rFonts w:ascii="標楷體" w:eastAsia="標楷體" w:hAnsi="標楷體" w:hint="eastAsia"/>
          <w:strike/>
          <w:sz w:val="28"/>
        </w:rPr>
        <w:t>（三）本機關保留本案於無法評定符合需要廠商時，得參考政府採購法第56條及第57條規定，就所有評審項目採行協商措施之權利。</w:t>
      </w:r>
    </w:p>
    <w:p w14:paraId="10A0D559" w14:textId="05258423" w:rsidR="00D93676" w:rsidRPr="0078666C" w:rsidRDefault="00D93676" w:rsidP="00DF01BB">
      <w:pPr>
        <w:rPr>
          <w:rFonts w:ascii="標楷體" w:eastAsia="標楷體" w:hAnsi="標楷體"/>
          <w:strike/>
          <w:sz w:val="28"/>
        </w:rPr>
      </w:pPr>
    </w:p>
    <w:p w14:paraId="0B4AED2A" w14:textId="54790B72" w:rsidR="00D93676" w:rsidRDefault="00D93676" w:rsidP="00DF01BB">
      <w:pPr>
        <w:rPr>
          <w:rFonts w:ascii="標楷體" w:eastAsia="標楷體" w:hAnsi="標楷體"/>
          <w:sz w:val="28"/>
        </w:rPr>
      </w:pPr>
    </w:p>
    <w:p w14:paraId="42B8EE2E" w14:textId="4B96256A" w:rsidR="00D93676" w:rsidRDefault="00D93676" w:rsidP="00DF01BB">
      <w:pPr>
        <w:rPr>
          <w:rFonts w:ascii="標楷體" w:eastAsia="標楷體" w:hAnsi="標楷體"/>
          <w:sz w:val="28"/>
        </w:rPr>
      </w:pPr>
    </w:p>
    <w:p w14:paraId="5A263104" w14:textId="06335AAC" w:rsidR="00D93676" w:rsidRDefault="00D93676" w:rsidP="00DF01BB">
      <w:pPr>
        <w:rPr>
          <w:rFonts w:ascii="標楷體" w:eastAsia="標楷體" w:hAnsi="標楷體"/>
          <w:sz w:val="28"/>
        </w:rPr>
      </w:pPr>
    </w:p>
    <w:p w14:paraId="7B2A2164" w14:textId="1A500047" w:rsidR="00D93676" w:rsidRDefault="00D93676" w:rsidP="00DF01BB">
      <w:pPr>
        <w:rPr>
          <w:rFonts w:ascii="標楷體" w:eastAsia="標楷體" w:hAnsi="標楷體"/>
          <w:sz w:val="28"/>
        </w:rPr>
      </w:pPr>
    </w:p>
    <w:p w14:paraId="0A275C84" w14:textId="2314FAB0" w:rsidR="00D93676" w:rsidRDefault="00D93676" w:rsidP="00DF01BB">
      <w:pPr>
        <w:rPr>
          <w:rFonts w:ascii="標楷體" w:eastAsia="標楷體" w:hAnsi="標楷體"/>
          <w:sz w:val="28"/>
        </w:rPr>
      </w:pPr>
    </w:p>
    <w:p w14:paraId="76E1F765" w14:textId="55DCC624" w:rsidR="00D93676" w:rsidRDefault="00D93676" w:rsidP="00DF01BB">
      <w:pPr>
        <w:rPr>
          <w:rFonts w:ascii="標楷體" w:eastAsia="標楷體" w:hAnsi="標楷體"/>
          <w:sz w:val="28"/>
        </w:rPr>
      </w:pPr>
    </w:p>
    <w:p w14:paraId="11AA3503" w14:textId="49C07713" w:rsidR="00D93676" w:rsidRDefault="00D93676" w:rsidP="00DF01BB">
      <w:pPr>
        <w:rPr>
          <w:rFonts w:ascii="標楷體" w:eastAsia="標楷體" w:hAnsi="標楷體"/>
          <w:sz w:val="28"/>
        </w:rPr>
      </w:pPr>
    </w:p>
    <w:p w14:paraId="77A4FC93" w14:textId="0F7A8A18" w:rsidR="00D93676" w:rsidRDefault="00D93676" w:rsidP="00DF01BB">
      <w:pPr>
        <w:rPr>
          <w:rFonts w:ascii="標楷體" w:eastAsia="標楷體" w:hAnsi="標楷體"/>
          <w:sz w:val="28"/>
        </w:rPr>
      </w:pPr>
    </w:p>
    <w:p w14:paraId="6B106367" w14:textId="6EC25875" w:rsidR="00D93676" w:rsidRDefault="00D93676" w:rsidP="00DF01BB">
      <w:pPr>
        <w:rPr>
          <w:rFonts w:ascii="標楷體" w:eastAsia="標楷體" w:hAnsi="標楷體"/>
          <w:sz w:val="28"/>
        </w:rPr>
      </w:pPr>
    </w:p>
    <w:p w14:paraId="30C86C07" w14:textId="1F0F8486" w:rsidR="00D93676" w:rsidRDefault="00D93676" w:rsidP="00DF01BB">
      <w:pPr>
        <w:rPr>
          <w:rFonts w:ascii="標楷體" w:eastAsia="標楷體" w:hAnsi="標楷體"/>
          <w:sz w:val="28"/>
        </w:rPr>
      </w:pPr>
    </w:p>
    <w:p w14:paraId="315BBBDB" w14:textId="27429CB9" w:rsidR="00D93676" w:rsidRDefault="00D93676" w:rsidP="00DF01BB">
      <w:pPr>
        <w:rPr>
          <w:rFonts w:ascii="標楷體" w:eastAsia="標楷體" w:hAnsi="標楷體"/>
          <w:sz w:val="28"/>
        </w:rPr>
      </w:pPr>
    </w:p>
    <w:p w14:paraId="418328B8" w14:textId="5FBDE792" w:rsidR="00D93676" w:rsidRDefault="00D93676" w:rsidP="00DF01BB">
      <w:pPr>
        <w:rPr>
          <w:rFonts w:ascii="標楷體" w:eastAsia="標楷體" w:hAnsi="標楷體"/>
          <w:sz w:val="28"/>
        </w:rPr>
      </w:pPr>
    </w:p>
    <w:p w14:paraId="1369A5E2" w14:textId="570D7A69" w:rsidR="00D93676" w:rsidRDefault="00D93676" w:rsidP="00DF01BB">
      <w:pPr>
        <w:rPr>
          <w:rFonts w:ascii="標楷體" w:eastAsia="標楷體" w:hAnsi="標楷體"/>
          <w:sz w:val="28"/>
        </w:rPr>
      </w:pPr>
    </w:p>
    <w:p w14:paraId="3B1DE789" w14:textId="05484100" w:rsidR="00D93676" w:rsidRDefault="00D93676" w:rsidP="00DF01BB">
      <w:pPr>
        <w:rPr>
          <w:rFonts w:ascii="標楷體" w:eastAsia="標楷體" w:hAnsi="標楷體"/>
          <w:sz w:val="28"/>
        </w:rPr>
      </w:pPr>
    </w:p>
    <w:p w14:paraId="3FF24264" w14:textId="4BE9C24E" w:rsidR="00D93676" w:rsidRDefault="00D93676" w:rsidP="00DF01BB">
      <w:pPr>
        <w:rPr>
          <w:rFonts w:ascii="標楷體" w:eastAsia="標楷體" w:hAnsi="標楷體"/>
          <w:sz w:val="28"/>
        </w:rPr>
      </w:pPr>
    </w:p>
    <w:p w14:paraId="61D00B37" w14:textId="054B37DE" w:rsidR="00D93676" w:rsidRDefault="00D93676" w:rsidP="00DF01BB">
      <w:pPr>
        <w:rPr>
          <w:rFonts w:ascii="標楷體" w:eastAsia="標楷體" w:hAnsi="標楷體"/>
          <w:sz w:val="28"/>
        </w:rPr>
      </w:pPr>
    </w:p>
    <w:p w14:paraId="31AAEEEE" w14:textId="059CEB8B" w:rsidR="00D93676" w:rsidRDefault="00D93676" w:rsidP="00DF01BB">
      <w:pPr>
        <w:rPr>
          <w:rFonts w:ascii="標楷體" w:eastAsia="標楷體" w:hAnsi="標楷體"/>
          <w:sz w:val="28"/>
        </w:rPr>
      </w:pPr>
    </w:p>
    <w:p w14:paraId="7004E71E" w14:textId="07236FE0" w:rsidR="00D93676" w:rsidRDefault="00D93676" w:rsidP="00DF01BB">
      <w:pPr>
        <w:rPr>
          <w:rFonts w:ascii="標楷體" w:eastAsia="標楷體" w:hAnsi="標楷體"/>
          <w:sz w:val="28"/>
        </w:rPr>
      </w:pPr>
    </w:p>
    <w:p w14:paraId="75878F28" w14:textId="6C8BE6DE" w:rsidR="00D93676" w:rsidRDefault="00D93676" w:rsidP="00DF01BB">
      <w:pPr>
        <w:rPr>
          <w:rFonts w:ascii="標楷體" w:eastAsia="標楷體" w:hAnsi="標楷體"/>
          <w:sz w:val="28"/>
        </w:rPr>
      </w:pPr>
    </w:p>
    <w:p w14:paraId="33B3ED55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0099FBA9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05CA63B6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3ADEA17E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5DF76926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79F6C857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7D4B24FA" w14:textId="77777777" w:rsidR="00723628" w:rsidRDefault="00723628" w:rsidP="00DF01BB">
      <w:pPr>
        <w:rPr>
          <w:rFonts w:ascii="標楷體" w:eastAsia="標楷體" w:hAnsi="標楷體"/>
          <w:sz w:val="28"/>
        </w:rPr>
      </w:pPr>
    </w:p>
    <w:p w14:paraId="45B08C0C" w14:textId="77777777" w:rsidR="00A758FC" w:rsidRDefault="00A758FC" w:rsidP="00DF01BB">
      <w:pPr>
        <w:rPr>
          <w:rFonts w:ascii="標楷體" w:eastAsia="標楷體" w:hAnsi="標楷體"/>
          <w:sz w:val="28"/>
        </w:rPr>
      </w:pPr>
    </w:p>
    <w:p w14:paraId="2182D37E" w14:textId="77777777" w:rsidR="00A758FC" w:rsidRDefault="00A758FC" w:rsidP="00DF01BB">
      <w:pPr>
        <w:rPr>
          <w:rFonts w:ascii="標楷體" w:eastAsia="標楷體" w:hAnsi="標楷體"/>
          <w:sz w:val="28"/>
        </w:rPr>
      </w:pPr>
    </w:p>
    <w:p w14:paraId="78FB2B9B" w14:textId="77777777" w:rsidR="00A758FC" w:rsidRDefault="00A758FC" w:rsidP="00DF01BB">
      <w:pPr>
        <w:rPr>
          <w:rFonts w:ascii="標楷體" w:eastAsia="標楷體" w:hAnsi="標楷體"/>
          <w:sz w:val="28"/>
        </w:rPr>
      </w:pPr>
    </w:p>
    <w:p w14:paraId="66585F4B" w14:textId="77777777" w:rsidR="00D93676" w:rsidRDefault="00D93676" w:rsidP="00D93676">
      <w:pPr>
        <w:spacing w:beforeLines="50" w:before="190" w:line="400" w:lineRule="exact"/>
        <w:jc w:val="both"/>
        <w:rPr>
          <w:rFonts w:ascii="標楷體" w:eastAsia="標楷體" w:hAnsi="標楷體"/>
          <w:sz w:val="28"/>
        </w:rPr>
      </w:pPr>
    </w:p>
    <w:p w14:paraId="47DF0CD4" w14:textId="77777777" w:rsidR="00D93676" w:rsidRPr="00DF01BB" w:rsidRDefault="00D93676" w:rsidP="00D93676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DF01BB">
        <w:rPr>
          <w:rFonts w:ascii="標楷體" w:eastAsia="標楷體" w:hAnsi="標楷體" w:hint="eastAsia"/>
          <w:b/>
          <w:sz w:val="32"/>
          <w:u w:val="single"/>
        </w:rPr>
        <w:t>行政院農業委員會農田水利署桃園管理處</w:t>
      </w:r>
    </w:p>
    <w:p w14:paraId="22DAF4EF" w14:textId="6DF02A50" w:rsidR="00F73BD1" w:rsidRDefault="00F73BD1" w:rsidP="00D93676">
      <w:pPr>
        <w:spacing w:line="44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F73BD1">
        <w:rPr>
          <w:rFonts w:ascii="標楷體" w:eastAsia="標楷體" w:hAnsi="標楷體" w:hint="eastAsia"/>
          <w:b/>
          <w:sz w:val="32"/>
          <w:u w:val="single"/>
        </w:rPr>
        <w:t>11</w:t>
      </w:r>
      <w:r w:rsidR="00B039BB">
        <w:rPr>
          <w:rFonts w:ascii="標楷體" w:eastAsia="標楷體" w:hAnsi="標楷體" w:hint="eastAsia"/>
          <w:b/>
          <w:sz w:val="32"/>
          <w:u w:val="single"/>
        </w:rPr>
        <w:t>2</w:t>
      </w:r>
      <w:r w:rsidRPr="00F73BD1">
        <w:rPr>
          <w:rFonts w:ascii="標楷體" w:eastAsia="標楷體" w:hAnsi="標楷體" w:hint="eastAsia"/>
          <w:b/>
          <w:sz w:val="32"/>
          <w:u w:val="single"/>
        </w:rPr>
        <w:t>年度</w:t>
      </w:r>
      <w:r w:rsidR="003F7A23" w:rsidRPr="00CD5C83">
        <w:rPr>
          <w:rFonts w:ascii="標楷體" w:eastAsia="標楷體" w:hAnsi="標楷體" w:hint="eastAsia"/>
          <w:b/>
          <w:sz w:val="32"/>
          <w:u w:val="single"/>
        </w:rPr>
        <w:t>水利節表揚大會</w:t>
      </w:r>
      <w:r w:rsidR="00723628">
        <w:rPr>
          <w:rFonts w:ascii="標楷體" w:eastAsia="標楷體" w:hAnsi="標楷體" w:hint="eastAsia"/>
          <w:b/>
          <w:sz w:val="32"/>
          <w:u w:val="single"/>
        </w:rPr>
        <w:t>活動</w:t>
      </w:r>
      <w:r w:rsidR="003F7A23" w:rsidRPr="00CD5C83">
        <w:rPr>
          <w:rFonts w:ascii="標楷體" w:eastAsia="標楷體" w:hAnsi="標楷體" w:hint="eastAsia"/>
          <w:b/>
          <w:sz w:val="32"/>
          <w:u w:val="single"/>
        </w:rPr>
        <w:t>採購案</w:t>
      </w:r>
    </w:p>
    <w:p w14:paraId="4CB4A16B" w14:textId="5B537912" w:rsidR="00D93676" w:rsidRDefault="00D93676" w:rsidP="00D9367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評</w:t>
      </w:r>
      <w:r w:rsidR="003F7A23">
        <w:rPr>
          <w:rFonts w:ascii="標楷體" w:eastAsia="標楷體" w:hAnsi="標楷體" w:hint="eastAsia"/>
          <w:b/>
          <w:sz w:val="32"/>
        </w:rPr>
        <w:t>審</w:t>
      </w:r>
      <w:r>
        <w:rPr>
          <w:rFonts w:ascii="標楷體" w:eastAsia="標楷體" w:hAnsi="標楷體" w:hint="eastAsia"/>
          <w:b/>
          <w:sz w:val="32"/>
        </w:rPr>
        <w:t>委員評</w:t>
      </w:r>
      <w:r w:rsidR="003F7A23">
        <w:rPr>
          <w:rFonts w:ascii="標楷體" w:eastAsia="標楷體" w:hAnsi="標楷體" w:hint="eastAsia"/>
          <w:b/>
          <w:sz w:val="32"/>
        </w:rPr>
        <w:t>審</w:t>
      </w:r>
      <w:r>
        <w:rPr>
          <w:rFonts w:ascii="標楷體" w:eastAsia="標楷體" w:hAnsi="標楷體" w:hint="eastAsia"/>
          <w:b/>
          <w:sz w:val="32"/>
        </w:rPr>
        <w:t>評分表（適用於序位法）</w:t>
      </w:r>
    </w:p>
    <w:p w14:paraId="2C589C94" w14:textId="77777777" w:rsidR="00592FF5" w:rsidRDefault="00592FF5" w:rsidP="00D93676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</w:p>
    <w:p w14:paraId="48A160AF" w14:textId="2803D0F9" w:rsidR="00D93676" w:rsidRDefault="00D93676" w:rsidP="00D93676">
      <w:pPr>
        <w:spacing w:afterLines="25" w:after="95" w:line="400" w:lineRule="exact"/>
        <w:ind w:leftChars="75" w:left="18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評</w:t>
      </w:r>
      <w:r w:rsidR="003F7A23">
        <w:rPr>
          <w:rFonts w:ascii="標楷體" w:eastAsia="標楷體" w:hAnsi="標楷體" w:hint="eastAsia"/>
          <w:sz w:val="28"/>
        </w:rPr>
        <w:t>審</w:t>
      </w:r>
      <w:r>
        <w:rPr>
          <w:rFonts w:ascii="標楷體" w:eastAsia="標楷體" w:hAnsi="標楷體" w:hint="eastAsia"/>
          <w:sz w:val="28"/>
        </w:rPr>
        <w:t>委員編號：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 xml:space="preserve">           </w:t>
      </w:r>
      <w:r w:rsidR="002F26ED">
        <w:rPr>
          <w:rFonts w:ascii="標楷體" w:eastAsia="標楷體" w:hAnsi="標楷體" w:hint="eastAsia"/>
          <w:b/>
          <w:bCs/>
          <w:sz w:val="28"/>
        </w:rPr>
        <w:t xml:space="preserve">            </w:t>
      </w:r>
      <w:r>
        <w:rPr>
          <w:rFonts w:ascii="標楷體" w:eastAsia="標楷體" w:hAnsi="標楷體" w:hint="eastAsia"/>
          <w:b/>
          <w:bCs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>日期：</w:t>
      </w:r>
      <w:r w:rsidR="002F26ED">
        <w:rPr>
          <w:rFonts w:ascii="標楷體" w:eastAsia="標楷體" w:hAnsi="標楷體" w:hint="eastAsia"/>
          <w:sz w:val="28"/>
        </w:rPr>
        <w:t>11</w:t>
      </w:r>
      <w:r w:rsidR="00B039BB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年</w:t>
      </w:r>
      <w:r w:rsidR="003F7A23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月</w:t>
      </w:r>
      <w:r w:rsidR="003F7A23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015"/>
        <w:gridCol w:w="1134"/>
        <w:gridCol w:w="992"/>
        <w:gridCol w:w="992"/>
        <w:gridCol w:w="993"/>
        <w:gridCol w:w="1701"/>
      </w:tblGrid>
      <w:tr w:rsidR="00267408" w14:paraId="79C3A812" w14:textId="77777777" w:rsidTr="00723628">
        <w:trPr>
          <w:cantSplit/>
        </w:trPr>
        <w:tc>
          <w:tcPr>
            <w:tcW w:w="2410" w:type="dxa"/>
            <w:vMerge w:val="restart"/>
            <w:vAlign w:val="center"/>
          </w:tcPr>
          <w:p w14:paraId="108F715B" w14:textId="27CE3CCF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67408">
              <w:rPr>
                <w:rFonts w:ascii="標楷體" w:eastAsia="標楷體" w:hAnsi="標楷體" w:cs="Arial" w:hint="eastAsia"/>
                <w:color w:val="000000"/>
                <w:sz w:val="32"/>
              </w:rPr>
              <w:t>評審項目</w:t>
            </w:r>
          </w:p>
        </w:tc>
        <w:tc>
          <w:tcPr>
            <w:tcW w:w="2015" w:type="dxa"/>
            <w:vMerge w:val="restart"/>
            <w:vAlign w:val="center"/>
          </w:tcPr>
          <w:p w14:paraId="02D8F5B9" w14:textId="43C89E73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評審內容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FC5CF0" w14:textId="72AD711A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配分</w:t>
            </w:r>
          </w:p>
        </w:tc>
        <w:tc>
          <w:tcPr>
            <w:tcW w:w="2977" w:type="dxa"/>
            <w:gridSpan w:val="3"/>
            <w:vAlign w:val="center"/>
          </w:tcPr>
          <w:p w14:paraId="11865BD3" w14:textId="77777777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廠商編號及得分</w:t>
            </w:r>
          </w:p>
        </w:tc>
        <w:tc>
          <w:tcPr>
            <w:tcW w:w="1701" w:type="dxa"/>
            <w:vMerge w:val="restart"/>
            <w:vAlign w:val="center"/>
          </w:tcPr>
          <w:p w14:paraId="6A7D720F" w14:textId="6BA33EA5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評審意見</w:t>
            </w:r>
          </w:p>
          <w:p w14:paraId="698DA36E" w14:textId="77777777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(優點、缺點)</w:t>
            </w:r>
          </w:p>
        </w:tc>
      </w:tr>
      <w:tr w:rsidR="00267408" w14:paraId="615B67F0" w14:textId="77777777" w:rsidTr="00723628">
        <w:trPr>
          <w:cantSplit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963032F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14:paraId="2E7094BB" w14:textId="77777777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DED27" w14:textId="585776AC" w:rsidR="00267408" w:rsidRDefault="00267408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FFCB28" w14:textId="5A4EF786" w:rsidR="00267408" w:rsidRDefault="00A758FC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219D23" w14:textId="57F3F768" w:rsidR="00267408" w:rsidRDefault="00A758FC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963F3B" w14:textId="25EE587D" w:rsidR="00267408" w:rsidRDefault="00A758FC" w:rsidP="007B3CA6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604631F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530836" w14:paraId="012E813D" w14:textId="77777777" w:rsidTr="009C2AB6">
        <w:trPr>
          <w:cantSplit/>
          <w:trHeight w:val="1559"/>
        </w:trPr>
        <w:tc>
          <w:tcPr>
            <w:tcW w:w="2410" w:type="dxa"/>
            <w:vAlign w:val="center"/>
          </w:tcPr>
          <w:p w14:paraId="023F4BF5" w14:textId="6B8E85B1" w:rsidR="00530836" w:rsidRPr="00F702AC" w:rsidRDefault="00530836" w:rsidP="00530836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廠商於服務項目之經驗、信譽、履約能力、未來執行本案專業團隊能力及應變處理能力</w:t>
            </w:r>
          </w:p>
        </w:tc>
        <w:tc>
          <w:tcPr>
            <w:tcW w:w="2015" w:type="dxa"/>
            <w:vAlign w:val="center"/>
          </w:tcPr>
          <w:p w14:paraId="080828A7" w14:textId="18E0F32D" w:rsidR="00530836" w:rsidRPr="00267408" w:rsidRDefault="00530836" w:rsidP="00D0785C">
            <w:pPr>
              <w:snapToGrid w:val="0"/>
              <w:spacing w:line="360" w:lineRule="exact"/>
              <w:rPr>
                <w:rFonts w:eastAsia="標楷體" w:hAnsi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廠商於服務項目之經驗、信譽、履約能力、未來執行本案專業團隊能力及應變處理能力</w:t>
            </w:r>
          </w:p>
        </w:tc>
        <w:tc>
          <w:tcPr>
            <w:tcW w:w="1134" w:type="dxa"/>
            <w:vAlign w:val="center"/>
          </w:tcPr>
          <w:p w14:paraId="5151A3C9" w14:textId="0A6183C5" w:rsidR="00530836" w:rsidRDefault="00530836" w:rsidP="0053083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4"/>
              </w:rPr>
              <w:t>40</w:t>
            </w:r>
          </w:p>
        </w:tc>
        <w:tc>
          <w:tcPr>
            <w:tcW w:w="992" w:type="dxa"/>
          </w:tcPr>
          <w:p w14:paraId="44052F30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15F014C3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</w:tcPr>
          <w:p w14:paraId="36594BE4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</w:tcPr>
          <w:p w14:paraId="1AC13582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530836" w14:paraId="57323054" w14:textId="77777777" w:rsidTr="009C2AB6">
        <w:trPr>
          <w:cantSplit/>
          <w:trHeight w:val="1170"/>
        </w:trPr>
        <w:tc>
          <w:tcPr>
            <w:tcW w:w="2410" w:type="dxa"/>
            <w:vAlign w:val="center"/>
          </w:tcPr>
          <w:p w14:paraId="74C26373" w14:textId="39890371" w:rsidR="00530836" w:rsidRPr="00F702AC" w:rsidRDefault="00530836" w:rsidP="00530836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價格之合理性</w:t>
            </w:r>
          </w:p>
        </w:tc>
        <w:tc>
          <w:tcPr>
            <w:tcW w:w="2015" w:type="dxa"/>
            <w:vAlign w:val="center"/>
          </w:tcPr>
          <w:p w14:paraId="3B3E8F0A" w14:textId="3D7B4327" w:rsidR="00530836" w:rsidRPr="00267408" w:rsidRDefault="00530836" w:rsidP="00530836">
            <w:pPr>
              <w:snapToGrid w:val="0"/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價格之合理性</w:t>
            </w:r>
          </w:p>
        </w:tc>
        <w:tc>
          <w:tcPr>
            <w:tcW w:w="1134" w:type="dxa"/>
            <w:vAlign w:val="center"/>
          </w:tcPr>
          <w:p w14:paraId="606E1B87" w14:textId="1DA0D900" w:rsidR="00530836" w:rsidRDefault="00530836" w:rsidP="0053083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 w:rsidRPr="00D50FAC">
              <w:rPr>
                <w:rFonts w:ascii="標楷體" w:eastAsia="標楷體" w:hAnsi="標楷體" w:cs="Arial"/>
                <w:color w:val="000000"/>
                <w:sz w:val="24"/>
                <w:highlight w:val="yellow"/>
              </w:rPr>
              <w:t>20</w:t>
            </w:r>
          </w:p>
        </w:tc>
        <w:tc>
          <w:tcPr>
            <w:tcW w:w="992" w:type="dxa"/>
          </w:tcPr>
          <w:p w14:paraId="7B22E17B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04312AEA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</w:tcPr>
          <w:p w14:paraId="6D4816F7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</w:tcPr>
          <w:p w14:paraId="01A5F845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530836" w14:paraId="4305EE22" w14:textId="77777777" w:rsidTr="009C2AB6">
        <w:trPr>
          <w:cantSplit/>
          <w:trHeight w:val="1170"/>
        </w:trPr>
        <w:tc>
          <w:tcPr>
            <w:tcW w:w="2410" w:type="dxa"/>
            <w:vAlign w:val="center"/>
          </w:tcPr>
          <w:p w14:paraId="6B285027" w14:textId="6DF747FA" w:rsidR="00530836" w:rsidRPr="00F702AC" w:rsidRDefault="00530836" w:rsidP="00530836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企劃書內容之完整性、可行性、創意性及對本服務事項之了解程度</w:t>
            </w:r>
          </w:p>
        </w:tc>
        <w:tc>
          <w:tcPr>
            <w:tcW w:w="2015" w:type="dxa"/>
            <w:vAlign w:val="center"/>
          </w:tcPr>
          <w:p w14:paraId="747078CF" w14:textId="78BC37D4" w:rsidR="00530836" w:rsidRPr="00267408" w:rsidRDefault="00530836" w:rsidP="00D0785C">
            <w:pPr>
              <w:snapToGrid w:val="0"/>
              <w:spacing w:line="360" w:lineRule="exact"/>
              <w:rPr>
                <w:rFonts w:eastAsia="標楷體" w:hAnsi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企劃書內容之完整性、可行性、創意性及對本服務事項之了解程度</w:t>
            </w:r>
          </w:p>
        </w:tc>
        <w:tc>
          <w:tcPr>
            <w:tcW w:w="1134" w:type="dxa"/>
            <w:vAlign w:val="center"/>
          </w:tcPr>
          <w:p w14:paraId="0497D066" w14:textId="3E00E8A5" w:rsidR="00530836" w:rsidRDefault="00530836" w:rsidP="0053083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 w:rsidRPr="00D50FAC">
              <w:rPr>
                <w:rFonts w:ascii="標楷體" w:eastAsia="標楷體" w:hAnsi="標楷體" w:cs="Arial"/>
                <w:color w:val="000000"/>
                <w:sz w:val="24"/>
                <w:highlight w:val="yellow"/>
              </w:rPr>
              <w:t>25</w:t>
            </w:r>
          </w:p>
        </w:tc>
        <w:tc>
          <w:tcPr>
            <w:tcW w:w="992" w:type="dxa"/>
          </w:tcPr>
          <w:p w14:paraId="4F227FA4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7987A552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</w:tcPr>
          <w:p w14:paraId="63DE2676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</w:tcPr>
          <w:p w14:paraId="5C765774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530836" w14:paraId="1215CFA4" w14:textId="77777777" w:rsidTr="009C2AB6">
        <w:trPr>
          <w:cantSplit/>
          <w:trHeight w:val="1170"/>
        </w:trPr>
        <w:tc>
          <w:tcPr>
            <w:tcW w:w="2410" w:type="dxa"/>
            <w:vAlign w:val="center"/>
          </w:tcPr>
          <w:p w14:paraId="35F3FC75" w14:textId="5762AB96" w:rsidR="00530836" w:rsidRPr="00F702AC" w:rsidRDefault="00530836" w:rsidP="00530836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廠商簡報及答詢</w:t>
            </w:r>
          </w:p>
        </w:tc>
        <w:tc>
          <w:tcPr>
            <w:tcW w:w="2015" w:type="dxa"/>
            <w:vAlign w:val="center"/>
          </w:tcPr>
          <w:p w14:paraId="7D8803B7" w14:textId="68BF78AD" w:rsidR="00530836" w:rsidRPr="00267408" w:rsidRDefault="00530836" w:rsidP="00D0785C">
            <w:pPr>
              <w:snapToGrid w:val="0"/>
              <w:spacing w:line="360" w:lineRule="exact"/>
              <w:rPr>
                <w:rFonts w:eastAsia="標楷體" w:hAnsi="標楷體"/>
                <w:sz w:val="28"/>
                <w:szCs w:val="28"/>
              </w:rPr>
            </w:pPr>
            <w:r w:rsidRPr="00A51CA5">
              <w:rPr>
                <w:rFonts w:eastAsia="標楷體" w:hAnsi="標楷體" w:hint="eastAsia"/>
                <w:sz w:val="28"/>
                <w:szCs w:val="28"/>
              </w:rPr>
              <w:t>廠商簡報及答詢</w:t>
            </w:r>
          </w:p>
        </w:tc>
        <w:tc>
          <w:tcPr>
            <w:tcW w:w="1134" w:type="dxa"/>
            <w:vAlign w:val="center"/>
          </w:tcPr>
          <w:p w14:paraId="6C28DEE8" w14:textId="7D3F9DB9" w:rsidR="00530836" w:rsidRDefault="00530836" w:rsidP="00530836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 w:rsidRPr="00D50FAC">
              <w:rPr>
                <w:rFonts w:ascii="標楷體" w:eastAsia="標楷體" w:hAnsi="標楷體" w:cs="Arial"/>
                <w:color w:val="000000"/>
                <w:sz w:val="24"/>
                <w:highlight w:val="yellow"/>
              </w:rPr>
              <w:t>15</w:t>
            </w:r>
          </w:p>
        </w:tc>
        <w:tc>
          <w:tcPr>
            <w:tcW w:w="992" w:type="dxa"/>
          </w:tcPr>
          <w:p w14:paraId="76FC5247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48ED727E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</w:tcPr>
          <w:p w14:paraId="584E199F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</w:tcPr>
          <w:p w14:paraId="4739DE66" w14:textId="77777777" w:rsidR="00530836" w:rsidRDefault="00530836" w:rsidP="0053083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67408" w14:paraId="6B43E493" w14:textId="77777777" w:rsidTr="00723628">
        <w:trPr>
          <w:cantSplit/>
        </w:trPr>
        <w:tc>
          <w:tcPr>
            <w:tcW w:w="2410" w:type="dxa"/>
            <w:vAlign w:val="center"/>
          </w:tcPr>
          <w:p w14:paraId="27CCB96C" w14:textId="77777777" w:rsidR="00267408" w:rsidRPr="0074207D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得分合計</w:t>
            </w:r>
          </w:p>
        </w:tc>
        <w:tc>
          <w:tcPr>
            <w:tcW w:w="2015" w:type="dxa"/>
          </w:tcPr>
          <w:p w14:paraId="77AF574F" w14:textId="77777777" w:rsidR="00267408" w:rsidRDefault="00267408" w:rsidP="007B3CA6">
            <w:pPr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3F236F4" w14:textId="6EE8E53D" w:rsidR="00267408" w:rsidRDefault="00267408" w:rsidP="007B3CA6">
            <w:pPr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>
              <w:rPr>
                <w:rFonts w:ascii="標楷體" w:eastAsia="標楷體" w:hAnsi="標楷體" w:cs="Arial"/>
                <w:color w:val="000000"/>
              </w:rPr>
              <w:t>00</w:t>
            </w:r>
          </w:p>
        </w:tc>
        <w:tc>
          <w:tcPr>
            <w:tcW w:w="992" w:type="dxa"/>
            <w:vAlign w:val="center"/>
          </w:tcPr>
          <w:p w14:paraId="2E331CDD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  <w:p w14:paraId="79E70540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EC16695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C891F32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37E9C6D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67408" w14:paraId="1B13C933" w14:textId="77777777" w:rsidTr="00723628">
        <w:trPr>
          <w:cantSplit/>
        </w:trPr>
        <w:tc>
          <w:tcPr>
            <w:tcW w:w="2410" w:type="dxa"/>
            <w:vAlign w:val="center"/>
          </w:tcPr>
          <w:p w14:paraId="26A4D995" w14:textId="77777777" w:rsidR="00267408" w:rsidRPr="0074207D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序位</w:t>
            </w:r>
          </w:p>
        </w:tc>
        <w:tc>
          <w:tcPr>
            <w:tcW w:w="2015" w:type="dxa"/>
          </w:tcPr>
          <w:p w14:paraId="7510DCFE" w14:textId="77777777" w:rsidR="00267408" w:rsidRDefault="00267408" w:rsidP="007B3CA6">
            <w:pPr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D3BFE7A" w14:textId="1CB55F2C" w:rsidR="00267408" w:rsidRDefault="00267408" w:rsidP="007B3CA6">
            <w:pPr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19E3D87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  <w:p w14:paraId="4EAB2827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7303E48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0D20907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4B12637" w14:textId="77777777" w:rsidR="00267408" w:rsidRDefault="00267408" w:rsidP="007B3CA6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67408" w14:paraId="41531B3F" w14:textId="77777777" w:rsidTr="00B039BB">
        <w:trPr>
          <w:cantSplit/>
        </w:trPr>
        <w:tc>
          <w:tcPr>
            <w:tcW w:w="10237" w:type="dxa"/>
            <w:gridSpan w:val="7"/>
          </w:tcPr>
          <w:p w14:paraId="611A6C5D" w14:textId="22FAFD74" w:rsidR="00267408" w:rsidRPr="0074207D" w:rsidRDefault="00267408" w:rsidP="007B3CA6">
            <w:pPr>
              <w:spacing w:afterLines="25" w:after="95" w:line="400" w:lineRule="exact"/>
              <w:ind w:leftChars="5" w:left="12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備註：本人知悉、並遵守「採購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委員會委員須知」之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內容</w:t>
            </w: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。</w:t>
            </w:r>
          </w:p>
          <w:p w14:paraId="4DBC0686" w14:textId="77777777" w:rsidR="00267408" w:rsidRDefault="00267408" w:rsidP="007B3CA6">
            <w:pPr>
              <w:spacing w:afterLines="25" w:after="95" w:line="400" w:lineRule="exact"/>
              <w:ind w:leftChars="5" w:left="12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</w:tbl>
    <w:p w14:paraId="6630869C" w14:textId="0B924535" w:rsidR="00267408" w:rsidRDefault="00267408" w:rsidP="00D93676">
      <w:pPr>
        <w:spacing w:afterLines="25" w:after="95" w:line="400" w:lineRule="exact"/>
        <w:ind w:leftChars="75" w:left="180"/>
        <w:rPr>
          <w:rFonts w:ascii="標楷體" w:eastAsia="標楷體" w:hAnsi="標楷體"/>
          <w:color w:val="000000"/>
          <w:sz w:val="28"/>
          <w:szCs w:val="28"/>
        </w:rPr>
      </w:pPr>
    </w:p>
    <w:p w14:paraId="2105951A" w14:textId="65BAC781" w:rsidR="00267408" w:rsidRDefault="00267408" w:rsidP="00B039BB">
      <w:pPr>
        <w:spacing w:afterLines="25" w:after="95"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FA13C6" w14:textId="3A9DCE08" w:rsidR="00D93676" w:rsidRDefault="00267408" w:rsidP="00703142">
      <w:pPr>
        <w:spacing w:afterLines="25" w:after="95" w:line="400" w:lineRule="exact"/>
        <w:ind w:leftChars="75" w:left="18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D76ED" wp14:editId="1FEC94A9">
                <wp:simplePos x="0" y="0"/>
                <wp:positionH relativeFrom="margin">
                  <wp:posOffset>2108835</wp:posOffset>
                </wp:positionH>
                <wp:positionV relativeFrom="paragraph">
                  <wp:posOffset>5715</wp:posOffset>
                </wp:positionV>
                <wp:extent cx="1847850" cy="5048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DFE9D0D" id="矩形 1" o:spid="_x0000_s1026" style="position:absolute;margin-left:166.05pt;margin-top:.45pt;width:14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" fillcolor="white [3212]" strokecolor="#1f3763 [1604]" strokeweight="1pt">
                <v:stroke dashstyle="3 1"/>
                <w10:wrap anchorx="margin"/>
              </v:rect>
            </w:pict>
          </mc:Fallback>
        </mc:AlternateContent>
      </w:r>
      <w:r w:rsidR="00D93676" w:rsidRPr="003460E1">
        <w:rPr>
          <w:rFonts w:ascii="標楷體" w:eastAsia="標楷體" w:hAnsi="標楷體" w:hint="eastAsia"/>
          <w:color w:val="000000"/>
          <w:sz w:val="28"/>
          <w:szCs w:val="28"/>
        </w:rPr>
        <w:t>評</w:t>
      </w:r>
      <w:r w:rsidR="003F7A23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D93676" w:rsidRPr="003460E1">
        <w:rPr>
          <w:rFonts w:ascii="標楷體" w:eastAsia="標楷體" w:hAnsi="標楷體" w:hint="eastAsia"/>
          <w:color w:val="000000"/>
          <w:sz w:val="28"/>
          <w:szCs w:val="28"/>
        </w:rPr>
        <w:t>委員簽名：</w:t>
      </w:r>
    </w:p>
    <w:p w14:paraId="29A7A040" w14:textId="118396F5" w:rsidR="00703142" w:rsidRDefault="00703142" w:rsidP="00D93676">
      <w:pPr>
        <w:spacing w:afterLines="25" w:after="95" w:line="400" w:lineRule="exact"/>
        <w:ind w:leftChars="75" w:left="180"/>
        <w:rPr>
          <w:rFonts w:ascii="標楷體" w:eastAsia="標楷體" w:hAnsi="標楷體"/>
          <w:color w:val="000000"/>
          <w:sz w:val="28"/>
          <w:szCs w:val="28"/>
        </w:rPr>
      </w:pPr>
    </w:p>
    <w:p w14:paraId="53730921" w14:textId="01E42D39" w:rsidR="00F73BD1" w:rsidRDefault="00592FF5" w:rsidP="00D93676">
      <w:pPr>
        <w:spacing w:afterLines="25" w:after="95" w:line="400" w:lineRule="exact"/>
        <w:ind w:leftChars="75" w:left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6CF64" wp14:editId="05FA7FC7">
                <wp:simplePos x="0" y="0"/>
                <wp:positionH relativeFrom="column">
                  <wp:posOffset>1670685</wp:posOffset>
                </wp:positionH>
                <wp:positionV relativeFrom="paragraph">
                  <wp:posOffset>8761730</wp:posOffset>
                </wp:positionV>
                <wp:extent cx="2552700" cy="13716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34F12FA" id="矩形 2" o:spid="_x0000_s1026" style="position:absolute;margin-left:131.55pt;margin-top:689.9pt;width:201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" fillcolor="black [3200]" strokecolor="black [1600]" strokeweight="1pt"/>
            </w:pict>
          </mc:Fallback>
        </mc:AlternateContent>
      </w:r>
    </w:p>
    <w:p w14:paraId="2C490E30" w14:textId="00E0E701" w:rsidR="00F73BD1" w:rsidRDefault="00F73BD1" w:rsidP="00F73BD1">
      <w:pPr>
        <w:spacing w:afterLines="25" w:after="95" w:line="400" w:lineRule="exact"/>
        <w:rPr>
          <w:rFonts w:ascii="標楷體" w:eastAsia="標楷體" w:hAnsi="標楷體"/>
          <w:color w:val="000000"/>
        </w:rPr>
        <w:sectPr w:rsidR="00F73BD1" w:rsidSect="00D0785C">
          <w:footerReference w:type="even" r:id="rId7"/>
          <w:footerReference w:type="default" r:id="rId8"/>
          <w:pgSz w:w="11906" w:h="16838" w:code="9"/>
          <w:pgMar w:top="737" w:right="1134" w:bottom="737" w:left="1134" w:header="851" w:footer="624" w:gutter="0"/>
          <w:pgNumType w:start="1"/>
          <w:cols w:space="425"/>
          <w:docGrid w:type="lines" w:linePitch="380"/>
        </w:sectPr>
      </w:pPr>
    </w:p>
    <w:p w14:paraId="09B21A29" w14:textId="3A2308ED" w:rsidR="00D93676" w:rsidRPr="004D492D" w:rsidRDefault="004D492D" w:rsidP="004D492D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DF01BB">
        <w:rPr>
          <w:rFonts w:ascii="標楷體" w:eastAsia="標楷體" w:hAnsi="標楷體" w:hint="eastAsia"/>
          <w:b/>
          <w:sz w:val="32"/>
          <w:u w:val="single"/>
        </w:rPr>
        <w:lastRenderedPageBreak/>
        <w:t>行政院農業委員會農田水利署桃園管理處</w:t>
      </w:r>
    </w:p>
    <w:p w14:paraId="10A25EC1" w14:textId="3F24F6FD" w:rsidR="00D93676" w:rsidRDefault="00D93676" w:rsidP="00D93676">
      <w:pPr>
        <w:spacing w:afterLines="50" w:after="180" w:line="420" w:lineRule="exact"/>
        <w:ind w:left="851" w:hanging="85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評</w:t>
      </w:r>
      <w:r w:rsidR="003F7A23">
        <w:rPr>
          <w:rFonts w:ascii="標楷體" w:eastAsia="標楷體" w:hAnsi="標楷體" w:hint="eastAsia"/>
          <w:b/>
          <w:sz w:val="32"/>
        </w:rPr>
        <w:t>審</w:t>
      </w:r>
      <w:r>
        <w:rPr>
          <w:rFonts w:ascii="標楷體" w:eastAsia="標楷體" w:hAnsi="標楷體" w:hint="eastAsia"/>
          <w:b/>
          <w:sz w:val="32"/>
        </w:rPr>
        <w:t>委員評</w:t>
      </w:r>
      <w:r w:rsidR="003F7A23">
        <w:rPr>
          <w:rFonts w:ascii="標楷體" w:eastAsia="標楷體" w:hAnsi="標楷體" w:hint="eastAsia"/>
          <w:b/>
          <w:sz w:val="32"/>
        </w:rPr>
        <w:t>審</w:t>
      </w:r>
      <w:r>
        <w:rPr>
          <w:rFonts w:ascii="標楷體" w:eastAsia="標楷體" w:hAnsi="標楷體" w:hint="eastAsia"/>
          <w:b/>
          <w:sz w:val="32"/>
        </w:rPr>
        <w:t>總表（適用於序位法）</w:t>
      </w:r>
    </w:p>
    <w:p w14:paraId="4019CD02" w14:textId="226092E5" w:rsidR="00D93676" w:rsidRPr="009F237E" w:rsidRDefault="00D93676" w:rsidP="004D492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9F237E">
        <w:rPr>
          <w:rFonts w:ascii="標楷體" w:eastAsia="標楷體" w:hAnsi="標楷體" w:hint="eastAsia"/>
          <w:sz w:val="28"/>
          <w:szCs w:val="28"/>
        </w:rPr>
        <w:t>採購案：</w:t>
      </w:r>
      <w:r w:rsidR="003F7A23" w:rsidRPr="003F7A23">
        <w:rPr>
          <w:rFonts w:ascii="標楷體" w:eastAsia="標楷體" w:hAnsi="標楷體" w:hint="eastAsia"/>
          <w:sz w:val="28"/>
          <w:szCs w:val="28"/>
        </w:rPr>
        <w:t>11</w:t>
      </w:r>
      <w:r w:rsidR="00B039BB">
        <w:rPr>
          <w:rFonts w:ascii="標楷體" w:eastAsia="標楷體" w:hAnsi="標楷體" w:hint="eastAsia"/>
          <w:sz w:val="28"/>
          <w:szCs w:val="28"/>
        </w:rPr>
        <w:t>2</w:t>
      </w:r>
      <w:r w:rsidR="003F7A23" w:rsidRPr="003F7A23">
        <w:rPr>
          <w:rFonts w:ascii="標楷體" w:eastAsia="標楷體" w:hAnsi="標楷體" w:hint="eastAsia"/>
          <w:sz w:val="28"/>
          <w:szCs w:val="28"/>
        </w:rPr>
        <w:t>年度水利節表揚大會</w:t>
      </w:r>
      <w:r w:rsidR="00723628">
        <w:rPr>
          <w:rFonts w:ascii="標楷體" w:eastAsia="標楷體" w:hAnsi="標楷體" w:hint="eastAsia"/>
          <w:sz w:val="28"/>
          <w:szCs w:val="28"/>
        </w:rPr>
        <w:t>活動</w:t>
      </w:r>
      <w:r w:rsidR="003F7A23" w:rsidRPr="003F7A23">
        <w:rPr>
          <w:rFonts w:ascii="標楷體" w:eastAsia="標楷體" w:hAnsi="標楷體" w:hint="eastAsia"/>
          <w:sz w:val="28"/>
          <w:szCs w:val="28"/>
        </w:rPr>
        <w:t>採購案</w:t>
      </w:r>
      <w:r w:rsidRPr="009F237E">
        <w:rPr>
          <w:rFonts w:ascii="標楷體" w:eastAsia="標楷體" w:hAnsi="標楷體" w:hint="eastAsia"/>
          <w:sz w:val="28"/>
          <w:szCs w:val="28"/>
        </w:rPr>
        <w:t xml:space="preserve">　　　　</w:t>
      </w: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9F237E">
        <w:rPr>
          <w:rFonts w:ascii="標楷體" w:eastAsia="標楷體" w:hAnsi="標楷體" w:hint="eastAsia"/>
          <w:sz w:val="28"/>
          <w:szCs w:val="28"/>
        </w:rPr>
        <w:t xml:space="preserve">　　　　　　　　　　　　日期：</w:t>
      </w:r>
      <w:r w:rsidR="00A070B5">
        <w:rPr>
          <w:rFonts w:ascii="標楷體" w:eastAsia="標楷體" w:hAnsi="標楷體" w:hint="eastAsia"/>
          <w:sz w:val="28"/>
          <w:szCs w:val="28"/>
        </w:rPr>
        <w:t>11</w:t>
      </w:r>
      <w:r w:rsidR="00B039BB">
        <w:rPr>
          <w:rFonts w:ascii="標楷體" w:eastAsia="標楷體" w:hAnsi="標楷體" w:hint="eastAsia"/>
          <w:sz w:val="28"/>
          <w:szCs w:val="28"/>
        </w:rPr>
        <w:t>2</w:t>
      </w:r>
      <w:r w:rsidRPr="009F237E">
        <w:rPr>
          <w:rFonts w:ascii="標楷體" w:eastAsia="標楷體" w:hAnsi="標楷體" w:hint="eastAsia"/>
          <w:sz w:val="28"/>
          <w:szCs w:val="28"/>
        </w:rPr>
        <w:t>年</w:t>
      </w:r>
      <w:r w:rsidR="003F7A2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237E">
        <w:rPr>
          <w:rFonts w:ascii="標楷體" w:eastAsia="標楷體" w:hAnsi="標楷體" w:hint="eastAsia"/>
          <w:sz w:val="28"/>
          <w:szCs w:val="28"/>
        </w:rPr>
        <w:t>月</w:t>
      </w:r>
      <w:r w:rsidR="003F7A2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237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587"/>
        <w:gridCol w:w="551"/>
        <w:gridCol w:w="769"/>
        <w:gridCol w:w="300"/>
        <w:gridCol w:w="676"/>
        <w:gridCol w:w="572"/>
        <w:gridCol w:w="771"/>
        <w:gridCol w:w="221"/>
        <w:gridCol w:w="766"/>
        <w:gridCol w:w="510"/>
        <w:gridCol w:w="839"/>
        <w:gridCol w:w="153"/>
        <w:gridCol w:w="837"/>
      </w:tblGrid>
      <w:tr w:rsidR="00D93676" w:rsidRPr="00181D43" w14:paraId="4580A5AF" w14:textId="77777777" w:rsidTr="007B3CA6">
        <w:trPr>
          <w:cantSplit/>
          <w:trHeight w:hRule="exact" w:val="510"/>
          <w:jc w:val="center"/>
        </w:trPr>
        <w:tc>
          <w:tcPr>
            <w:tcW w:w="2656" w:type="dxa"/>
            <w:gridSpan w:val="2"/>
          </w:tcPr>
          <w:p w14:paraId="38DA96BA" w14:textId="77777777" w:rsidR="00D93676" w:rsidRPr="00181D43" w:rsidRDefault="00D93676" w:rsidP="007B3CA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14:paraId="34D51E9C" w14:textId="1B7C8712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14:paraId="6F04139F" w14:textId="7A39CA15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0A71A982" w14:textId="2B9418F1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D93676" w:rsidRPr="00181D43" w14:paraId="6EEE93FC" w14:textId="77777777" w:rsidTr="007B3CA6">
        <w:trPr>
          <w:cantSplit/>
          <w:trHeight w:val="598"/>
          <w:jc w:val="center"/>
        </w:trPr>
        <w:tc>
          <w:tcPr>
            <w:tcW w:w="2656" w:type="dxa"/>
            <w:gridSpan w:val="2"/>
            <w:vMerge w:val="restart"/>
            <w:tcBorders>
              <w:tl2br w:val="single" w:sz="4" w:space="0" w:color="auto"/>
            </w:tcBorders>
          </w:tcPr>
          <w:p w14:paraId="73611305" w14:textId="77777777" w:rsidR="00D93676" w:rsidRPr="00181D43" w:rsidRDefault="00D93676" w:rsidP="007B3CA6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14:paraId="6E23AEF5" w14:textId="6650BEB3" w:rsidR="00D93676" w:rsidRPr="00181D43" w:rsidRDefault="00D93676" w:rsidP="007B3CA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1E44B1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96" w:type="dxa"/>
            <w:gridSpan w:val="4"/>
            <w:shd w:val="clear" w:color="auto" w:fill="auto"/>
          </w:tcPr>
          <w:p w14:paraId="69FBEEDA" w14:textId="08241B3C" w:rsidR="00D93676" w:rsidRPr="00181D43" w:rsidRDefault="00D93676" w:rsidP="007B3CA6">
            <w:pPr>
              <w:pStyle w:val="1"/>
              <w:adjustRightInd/>
              <w:spacing w:line="44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14:paraId="01071929" w14:textId="77777777" w:rsidR="00D93676" w:rsidRPr="00181D43" w:rsidRDefault="00D93676" w:rsidP="007B3CA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</w:tcPr>
          <w:p w14:paraId="085CE5F5" w14:textId="77777777" w:rsidR="00D93676" w:rsidRPr="00181D43" w:rsidRDefault="00D93676" w:rsidP="007B3CA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733420C5" w14:textId="77777777" w:rsidTr="007B3CA6">
        <w:trPr>
          <w:cantSplit/>
          <w:trHeight w:val="596"/>
          <w:jc w:val="center"/>
        </w:trPr>
        <w:tc>
          <w:tcPr>
            <w:tcW w:w="2656" w:type="dxa"/>
            <w:gridSpan w:val="2"/>
            <w:vMerge/>
            <w:tcBorders>
              <w:tl2br w:val="single" w:sz="4" w:space="0" w:color="auto"/>
            </w:tcBorders>
          </w:tcPr>
          <w:p w14:paraId="51B027CA" w14:textId="77777777" w:rsidR="00D93676" w:rsidRPr="00181D43" w:rsidRDefault="00D93676" w:rsidP="007B3CA6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6DF34E91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A19F6E1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4120E649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262F627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  <w:tc>
          <w:tcPr>
            <w:tcW w:w="1349" w:type="dxa"/>
            <w:gridSpan w:val="2"/>
            <w:shd w:val="clear" w:color="auto" w:fill="auto"/>
          </w:tcPr>
          <w:p w14:paraId="02E1A1A4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502B05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</w:tr>
      <w:tr w:rsidR="00D93676" w:rsidRPr="00181D43" w14:paraId="7E9941CE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31DA1FA0" w14:textId="2B57DE9A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320" w:type="dxa"/>
            <w:gridSpan w:val="2"/>
            <w:vAlign w:val="center"/>
          </w:tcPr>
          <w:p w14:paraId="17FC12EC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C6E9A6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A2599B5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F86BB7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ED3019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FF03E7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201EEE61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587E6F39" w14:textId="50A34D3B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320" w:type="dxa"/>
            <w:gridSpan w:val="2"/>
            <w:vAlign w:val="center"/>
          </w:tcPr>
          <w:p w14:paraId="057DD36C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724976C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1D1E51F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C4FBCC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A09714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4AEACF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126883BB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5DABB748" w14:textId="7FF57294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320" w:type="dxa"/>
            <w:gridSpan w:val="2"/>
            <w:vAlign w:val="center"/>
          </w:tcPr>
          <w:p w14:paraId="1FA34044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4E534E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82ACD8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D1C289D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C4EBDB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3D0F58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51852B2C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4E92532E" w14:textId="44C2A12F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320" w:type="dxa"/>
            <w:gridSpan w:val="2"/>
            <w:vAlign w:val="center"/>
          </w:tcPr>
          <w:p w14:paraId="5E8DF908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797824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A6D6D2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301541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5032DC0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FEF83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05B90CF5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7CD6250D" w14:textId="347022D7" w:rsidR="00D93676" w:rsidRPr="00181D43" w:rsidRDefault="00552E48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  <w:tc>
          <w:tcPr>
            <w:tcW w:w="1320" w:type="dxa"/>
            <w:gridSpan w:val="2"/>
            <w:vAlign w:val="center"/>
          </w:tcPr>
          <w:p w14:paraId="3E585D68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F043805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FE5FE78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560159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2290D1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BE7C68D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1BED2DE7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13E55BAF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標</w:t>
            </w: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價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14:paraId="60FB12F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14:paraId="1B13E8D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65D79E9F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031DEEE4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7506BF39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總評分/平均總評分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14:paraId="1EE2D26A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14:paraId="7EAEE4C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168B8FF2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22900E8E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2E62483E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序位和</w:t>
            </w:r>
            <w:r w:rsidRPr="00181D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(序位合計)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14:paraId="0B7A3AD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14:paraId="6B2FD2B8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4B3D8C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75671B6C" w14:textId="77777777" w:rsidTr="007B3CA6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14:paraId="0B8B2346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14:paraId="73D4E50E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14:paraId="496445DE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6D93230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55E43DBB" w14:textId="77777777" w:rsidTr="00A070B5">
        <w:trPr>
          <w:cantSplit/>
          <w:trHeight w:val="575"/>
          <w:jc w:val="center"/>
        </w:trPr>
        <w:tc>
          <w:tcPr>
            <w:tcW w:w="1069" w:type="dxa"/>
            <w:vMerge w:val="restart"/>
            <w:vAlign w:val="center"/>
          </w:tcPr>
          <w:p w14:paraId="0F940316" w14:textId="242327FE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全部評</w:t>
            </w:r>
            <w:r w:rsidR="003F7A2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138" w:type="dxa"/>
            <w:gridSpan w:val="2"/>
            <w:vAlign w:val="center"/>
          </w:tcPr>
          <w:p w14:paraId="3C47186B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14:paraId="0E8087E8" w14:textId="61E44AD3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3EA8A3F" w14:textId="26C4AB1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C69138" w14:textId="6B90A2DB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BDCE69" w14:textId="5B6FD023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A46D67" w14:textId="6C357FAC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A0611C2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1DCB20FC" w14:textId="77777777" w:rsidTr="00A070B5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14:paraId="30210B52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EBC2133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069" w:type="dxa"/>
            <w:gridSpan w:val="2"/>
            <w:vAlign w:val="center"/>
          </w:tcPr>
          <w:p w14:paraId="1252AE9F" w14:textId="1DF702B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901BE71" w14:textId="72C5811C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39CC4" w14:textId="54D10BFB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1C904" w14:textId="32CBF05E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199909" w14:textId="0E1766B5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1610CE68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181D43" w14:paraId="0C3D8E0C" w14:textId="77777777" w:rsidTr="00A070B5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14:paraId="14BD15AD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4F5552E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出席或缺席</w:t>
            </w:r>
          </w:p>
        </w:tc>
        <w:tc>
          <w:tcPr>
            <w:tcW w:w="1069" w:type="dxa"/>
            <w:gridSpan w:val="2"/>
            <w:vAlign w:val="center"/>
          </w:tcPr>
          <w:p w14:paraId="42D19C8E" w14:textId="1F5F346E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E6FBB10" w14:textId="40A1EF1E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685FF5" w14:textId="4B4F69FD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35F953" w14:textId="4F535778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AA84EB" w14:textId="282FDD8E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07BA2C2E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676" w:rsidRPr="00816FB2" w14:paraId="3687F445" w14:textId="77777777" w:rsidTr="007B3CA6">
        <w:trPr>
          <w:cantSplit/>
          <w:trHeight w:hRule="exact" w:val="2325"/>
          <w:jc w:val="center"/>
        </w:trPr>
        <w:tc>
          <w:tcPr>
            <w:tcW w:w="2656" w:type="dxa"/>
            <w:gridSpan w:val="2"/>
            <w:vAlign w:val="center"/>
          </w:tcPr>
          <w:p w14:paraId="307F11B7" w14:textId="77777777" w:rsidR="00D93676" w:rsidRPr="00181D43" w:rsidRDefault="00D93676" w:rsidP="007B3C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965" w:type="dxa"/>
            <w:gridSpan w:val="12"/>
            <w:vAlign w:val="center"/>
          </w:tcPr>
          <w:p w14:paraId="15D76B88" w14:textId="3FE52577" w:rsidR="00D93676" w:rsidRPr="00290539" w:rsidRDefault="00D93676" w:rsidP="007B3CA6">
            <w:pPr>
              <w:spacing w:line="360" w:lineRule="exact"/>
              <w:rPr>
                <w:rFonts w:ascii="標楷體" w:eastAsia="標楷體" w:hAnsi="標楷體"/>
              </w:rPr>
            </w:pPr>
            <w:r w:rsidRPr="00290539">
              <w:rPr>
                <w:rFonts w:ascii="標楷體" w:eastAsia="標楷體" w:hAnsi="標楷體" w:hint="eastAsia"/>
              </w:rPr>
              <w:t>1.評</w:t>
            </w:r>
            <w:r w:rsidR="005610D6">
              <w:rPr>
                <w:rFonts w:ascii="標楷體" w:eastAsia="標楷體" w:hAnsi="標楷體" w:hint="eastAsia"/>
              </w:rPr>
              <w:t>審</w:t>
            </w:r>
            <w:r w:rsidRPr="00290539">
              <w:rPr>
                <w:rFonts w:ascii="標楷體" w:eastAsia="標楷體" w:hAnsi="標楷體" w:hint="eastAsia"/>
              </w:rPr>
              <w:t>委員是否先經逐項討論後，再予評分：</w:t>
            </w:r>
          </w:p>
          <w:p w14:paraId="63B49DA0" w14:textId="3F57F144" w:rsidR="00D93676" w:rsidRDefault="00D93676" w:rsidP="004D492D">
            <w:pPr>
              <w:spacing w:line="360" w:lineRule="exact"/>
              <w:rPr>
                <w:rFonts w:ascii="標楷體" w:eastAsia="標楷體" w:hAnsi="標楷體"/>
              </w:rPr>
            </w:pPr>
            <w:r w:rsidRPr="00290539">
              <w:rPr>
                <w:rFonts w:ascii="標楷體" w:eastAsia="標楷體" w:hAnsi="標楷體" w:hint="eastAsia"/>
              </w:rPr>
              <w:t>2.不同委員</w:t>
            </w:r>
            <w:r w:rsidR="00484757">
              <w:rPr>
                <w:rFonts w:ascii="標楷體" w:eastAsia="標楷體" w:hAnsi="標楷體" w:hint="eastAsia"/>
              </w:rPr>
              <w:t>評審</w:t>
            </w:r>
            <w:r w:rsidRPr="00290539">
              <w:rPr>
                <w:rFonts w:ascii="標楷體" w:eastAsia="標楷體" w:hAnsi="標楷體" w:hint="eastAsia"/>
              </w:rPr>
              <w:t>結果有無明顯差異情形：</w:t>
            </w:r>
          </w:p>
          <w:p w14:paraId="230FF71E" w14:textId="18567930" w:rsidR="00D93676" w:rsidRPr="00290539" w:rsidRDefault="004D492D" w:rsidP="007B3C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D93676" w:rsidRPr="00290539">
              <w:rPr>
                <w:rFonts w:ascii="標楷體" w:eastAsia="標楷體" w:hAnsi="標楷體" w:hint="eastAsia"/>
              </w:rPr>
              <w:t>.評</w:t>
            </w:r>
            <w:r w:rsidR="005610D6">
              <w:rPr>
                <w:rFonts w:ascii="標楷體" w:eastAsia="標楷體" w:hAnsi="標楷體" w:hint="eastAsia"/>
              </w:rPr>
              <w:t>審</w:t>
            </w:r>
            <w:r w:rsidR="00D93676" w:rsidRPr="00290539">
              <w:rPr>
                <w:rFonts w:ascii="標楷體" w:eastAsia="標楷體" w:hAnsi="標楷體" w:hint="eastAsia"/>
              </w:rPr>
              <w:t>結果於簽報機關首長或其授權人員核定後方生效。</w:t>
            </w:r>
          </w:p>
        </w:tc>
      </w:tr>
    </w:tbl>
    <w:p w14:paraId="18B2C1A7" w14:textId="214F7506" w:rsidR="00D93676" w:rsidRDefault="00D93676" w:rsidP="00D93676">
      <w:pPr>
        <w:spacing w:beforeLines="50" w:before="180" w:line="400" w:lineRule="exact"/>
        <w:jc w:val="both"/>
        <w:rPr>
          <w:sz w:val="16"/>
        </w:rPr>
      </w:pPr>
      <w:r>
        <w:rPr>
          <w:rFonts w:ascii="標楷體" w:eastAsia="標楷體" w:hAnsi="標楷體" w:hint="eastAsia"/>
          <w:sz w:val="28"/>
        </w:rPr>
        <w:t>出席評</w:t>
      </w:r>
      <w:r w:rsidR="003F7A23">
        <w:rPr>
          <w:rFonts w:ascii="標楷體" w:eastAsia="標楷體" w:hAnsi="標楷體" w:hint="eastAsia"/>
          <w:sz w:val="28"/>
        </w:rPr>
        <w:t>審</w:t>
      </w:r>
      <w:r>
        <w:rPr>
          <w:rFonts w:ascii="標楷體" w:eastAsia="標楷體" w:hAnsi="標楷體" w:hint="eastAsia"/>
          <w:sz w:val="28"/>
        </w:rPr>
        <w:t>委員簽名：</w:t>
      </w:r>
    </w:p>
    <w:p w14:paraId="19167392" w14:textId="77777777" w:rsidR="00D93676" w:rsidRDefault="00D93676" w:rsidP="00DF01BB"/>
    <w:sectPr w:rsidR="00D93676" w:rsidSect="00D078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60E4" w14:textId="77777777" w:rsidR="00A815DC" w:rsidRDefault="00A815DC" w:rsidP="003F60A5">
      <w:r>
        <w:separator/>
      </w:r>
    </w:p>
  </w:endnote>
  <w:endnote w:type="continuationSeparator" w:id="0">
    <w:p w14:paraId="16F0B299" w14:textId="77777777" w:rsidR="00A815DC" w:rsidRDefault="00A815DC" w:rsidP="003F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7093" w14:textId="370F39ED" w:rsidR="00D93676" w:rsidRDefault="00D9367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39BB">
      <w:rPr>
        <w:rStyle w:val="a9"/>
        <w:noProof/>
      </w:rPr>
      <w:t>1</w:t>
    </w:r>
    <w:r>
      <w:rPr>
        <w:rStyle w:val="a9"/>
      </w:rPr>
      <w:fldChar w:fldCharType="end"/>
    </w:r>
  </w:p>
  <w:p w14:paraId="23A98BC6" w14:textId="77777777" w:rsidR="00D93676" w:rsidRDefault="00D936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2A89" w14:textId="1211ED16" w:rsidR="00D93676" w:rsidRDefault="00D9367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7244">
      <w:rPr>
        <w:rStyle w:val="a9"/>
        <w:noProof/>
      </w:rPr>
      <w:t>7</w:t>
    </w:r>
    <w:r>
      <w:rPr>
        <w:rStyle w:val="a9"/>
      </w:rPr>
      <w:fldChar w:fldCharType="end"/>
    </w:r>
  </w:p>
  <w:p w14:paraId="2F4CA303" w14:textId="77777777" w:rsidR="00D93676" w:rsidRDefault="00D93676">
    <w:pPr>
      <w:pStyle w:val="a7"/>
      <w:framePr w:wrap="around" w:vAnchor="text" w:hAnchor="margin" w:xAlign="right" w:y="1"/>
      <w:rPr>
        <w:rStyle w:val="a9"/>
      </w:rPr>
    </w:pPr>
  </w:p>
  <w:p w14:paraId="2A166A61" w14:textId="77777777" w:rsidR="00D93676" w:rsidRDefault="00D93676">
    <w:pPr>
      <w:pStyle w:val="a7"/>
      <w:framePr w:wrap="around" w:vAnchor="text" w:hAnchor="margin" w:xAlign="center" w:y="1"/>
      <w:ind w:right="360"/>
      <w:rPr>
        <w:rStyle w:val="a9"/>
      </w:rPr>
    </w:pPr>
  </w:p>
  <w:p w14:paraId="38FBDF3C" w14:textId="77777777" w:rsidR="00D93676" w:rsidRDefault="00D9367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8B04" w14:textId="77777777" w:rsidR="00A815DC" w:rsidRDefault="00A815DC" w:rsidP="003F60A5">
      <w:r>
        <w:separator/>
      </w:r>
    </w:p>
  </w:footnote>
  <w:footnote w:type="continuationSeparator" w:id="0">
    <w:p w14:paraId="5D38D7C1" w14:textId="77777777" w:rsidR="00A815DC" w:rsidRDefault="00A815DC" w:rsidP="003F6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2EBB7E73"/>
    <w:multiLevelType w:val="multilevel"/>
    <w:tmpl w:val="89D409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/>
      </w:rPr>
    </w:lvl>
    <w:lvl w:ilvl="4">
      <w:start w:val="1"/>
      <w:numFmt w:val="decimal"/>
      <w:lvlText w:val="（%5）"/>
      <w:lvlJc w:val="left"/>
      <w:pPr>
        <w:ind w:left="1928" w:hanging="794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4F7727"/>
    <w:multiLevelType w:val="multilevel"/>
    <w:tmpl w:val="EB0E1264"/>
    <w:lvl w:ilvl="0">
      <w:start w:val="1"/>
      <w:numFmt w:val="decimal"/>
      <w:lvlText w:val="（%1）"/>
      <w:lvlJc w:val="left"/>
      <w:pPr>
        <w:ind w:left="1860" w:hanging="720"/>
      </w:pPr>
    </w:lvl>
    <w:lvl w:ilvl="1">
      <w:start w:val="1"/>
      <w:numFmt w:val="decimal"/>
      <w:lvlText w:val="（%2）"/>
      <w:lvlJc w:val="left"/>
      <w:pPr>
        <w:ind w:left="2340" w:hanging="720"/>
      </w:pPr>
    </w:lvl>
    <w:lvl w:ilvl="2">
      <w:start w:val="1"/>
      <w:numFmt w:val="lowerRoman"/>
      <w:lvlText w:val="%3."/>
      <w:lvlJc w:val="right"/>
      <w:pPr>
        <w:ind w:left="2580" w:hanging="480"/>
      </w:pPr>
    </w:lvl>
    <w:lvl w:ilvl="3">
      <w:start w:val="1"/>
      <w:numFmt w:val="decimal"/>
      <w:lvlText w:val="%4."/>
      <w:lvlJc w:val="left"/>
      <w:pPr>
        <w:ind w:left="3060" w:hanging="480"/>
      </w:pPr>
    </w:lvl>
    <w:lvl w:ilvl="4">
      <w:start w:val="1"/>
      <w:numFmt w:val="ideographTraditional"/>
      <w:lvlText w:val="%5、"/>
      <w:lvlJc w:val="left"/>
      <w:pPr>
        <w:ind w:left="3540" w:hanging="480"/>
      </w:pPr>
    </w:lvl>
    <w:lvl w:ilvl="5">
      <w:start w:val="1"/>
      <w:numFmt w:val="lowerRoman"/>
      <w:lvlText w:val="%6."/>
      <w:lvlJc w:val="right"/>
      <w:pPr>
        <w:ind w:left="4020" w:hanging="480"/>
      </w:pPr>
    </w:lvl>
    <w:lvl w:ilvl="6">
      <w:start w:val="1"/>
      <w:numFmt w:val="decimal"/>
      <w:lvlText w:val="%7."/>
      <w:lvlJc w:val="left"/>
      <w:pPr>
        <w:ind w:left="4500" w:hanging="480"/>
      </w:pPr>
    </w:lvl>
    <w:lvl w:ilvl="7">
      <w:start w:val="1"/>
      <w:numFmt w:val="ideographTraditional"/>
      <w:lvlText w:val="%8、"/>
      <w:lvlJc w:val="left"/>
      <w:pPr>
        <w:ind w:left="4980" w:hanging="480"/>
      </w:pPr>
    </w:lvl>
    <w:lvl w:ilvl="8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46BC6964"/>
    <w:multiLevelType w:val="singleLevel"/>
    <w:tmpl w:val="A27ACAFA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</w:abstractNum>
  <w:abstractNum w:abstractNumId="4" w15:restartNumberingAfterBreak="0">
    <w:nsid w:val="595F6994"/>
    <w:multiLevelType w:val="multilevel"/>
    <w:tmpl w:val="1BC6C410"/>
    <w:lvl w:ilvl="0">
      <w:start w:val="1"/>
      <w:numFmt w:val="decimal"/>
      <w:lvlText w:val="（%1）"/>
      <w:lvlJc w:val="left"/>
      <w:pPr>
        <w:ind w:left="1860" w:hanging="720"/>
      </w:pPr>
    </w:lvl>
    <w:lvl w:ilvl="1">
      <w:start w:val="1"/>
      <w:numFmt w:val="decimal"/>
      <w:lvlText w:val="（%2）"/>
      <w:lvlJc w:val="left"/>
      <w:pPr>
        <w:ind w:left="2340" w:hanging="720"/>
      </w:pPr>
    </w:lvl>
    <w:lvl w:ilvl="2">
      <w:start w:val="1"/>
      <w:numFmt w:val="lowerRoman"/>
      <w:lvlText w:val="%3."/>
      <w:lvlJc w:val="right"/>
      <w:pPr>
        <w:ind w:left="2580" w:hanging="480"/>
      </w:pPr>
    </w:lvl>
    <w:lvl w:ilvl="3">
      <w:start w:val="1"/>
      <w:numFmt w:val="decimal"/>
      <w:lvlText w:val="%4."/>
      <w:lvlJc w:val="left"/>
      <w:pPr>
        <w:ind w:left="3060" w:hanging="480"/>
      </w:pPr>
    </w:lvl>
    <w:lvl w:ilvl="4">
      <w:start w:val="1"/>
      <w:numFmt w:val="ideographTraditional"/>
      <w:lvlText w:val="%5、"/>
      <w:lvlJc w:val="left"/>
      <w:pPr>
        <w:ind w:left="3540" w:hanging="480"/>
      </w:pPr>
    </w:lvl>
    <w:lvl w:ilvl="5">
      <w:start w:val="1"/>
      <w:numFmt w:val="lowerRoman"/>
      <w:lvlText w:val="%6."/>
      <w:lvlJc w:val="right"/>
      <w:pPr>
        <w:ind w:left="4020" w:hanging="480"/>
      </w:pPr>
    </w:lvl>
    <w:lvl w:ilvl="6">
      <w:start w:val="1"/>
      <w:numFmt w:val="decimal"/>
      <w:lvlText w:val="%7."/>
      <w:lvlJc w:val="left"/>
      <w:pPr>
        <w:ind w:left="4500" w:hanging="480"/>
      </w:pPr>
    </w:lvl>
    <w:lvl w:ilvl="7">
      <w:start w:val="1"/>
      <w:numFmt w:val="ideographTraditional"/>
      <w:lvlText w:val="%8、"/>
      <w:lvlJc w:val="left"/>
      <w:pPr>
        <w:ind w:left="4980" w:hanging="480"/>
      </w:pPr>
    </w:lvl>
    <w:lvl w:ilvl="8">
      <w:start w:val="1"/>
      <w:numFmt w:val="lowerRoman"/>
      <w:lvlText w:val="%9."/>
      <w:lvlJc w:val="right"/>
      <w:pPr>
        <w:ind w:left="5460" w:hanging="480"/>
      </w:pPr>
    </w:lvl>
  </w:abstractNum>
  <w:abstractNum w:abstractNumId="5" w15:restartNumberingAfterBreak="0">
    <w:nsid w:val="670B5235"/>
    <w:multiLevelType w:val="multilevel"/>
    <w:tmpl w:val="F3E64BCC"/>
    <w:lvl w:ilvl="0">
      <w:start w:val="1"/>
      <w:numFmt w:val="taiwaneseCountingThousand"/>
      <w:lvlText w:val="%1、"/>
      <w:lvlJc w:val="left"/>
      <w:pPr>
        <w:ind w:left="855" w:hanging="585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BB"/>
    <w:rsid w:val="000944F4"/>
    <w:rsid w:val="000B624A"/>
    <w:rsid w:val="001223EB"/>
    <w:rsid w:val="001D5254"/>
    <w:rsid w:val="001E44B1"/>
    <w:rsid w:val="00243F5D"/>
    <w:rsid w:val="00267408"/>
    <w:rsid w:val="0027254F"/>
    <w:rsid w:val="00287F45"/>
    <w:rsid w:val="002F26ED"/>
    <w:rsid w:val="002F3576"/>
    <w:rsid w:val="003024F1"/>
    <w:rsid w:val="00370A5E"/>
    <w:rsid w:val="003F34C8"/>
    <w:rsid w:val="003F60A5"/>
    <w:rsid w:val="003F7A23"/>
    <w:rsid w:val="00484757"/>
    <w:rsid w:val="004A3CB2"/>
    <w:rsid w:val="004B0987"/>
    <w:rsid w:val="004B29BF"/>
    <w:rsid w:val="004D492D"/>
    <w:rsid w:val="004E56DF"/>
    <w:rsid w:val="004E62D2"/>
    <w:rsid w:val="00530836"/>
    <w:rsid w:val="00552E48"/>
    <w:rsid w:val="005610D6"/>
    <w:rsid w:val="00592FF5"/>
    <w:rsid w:val="00596ADF"/>
    <w:rsid w:val="005A02A5"/>
    <w:rsid w:val="005A0A81"/>
    <w:rsid w:val="005D7244"/>
    <w:rsid w:val="00611334"/>
    <w:rsid w:val="006D0FCF"/>
    <w:rsid w:val="00703142"/>
    <w:rsid w:val="00712C79"/>
    <w:rsid w:val="00723628"/>
    <w:rsid w:val="00757CA9"/>
    <w:rsid w:val="0078666C"/>
    <w:rsid w:val="00803314"/>
    <w:rsid w:val="00824CD0"/>
    <w:rsid w:val="00857FDD"/>
    <w:rsid w:val="008719E4"/>
    <w:rsid w:val="008B761A"/>
    <w:rsid w:val="0092199D"/>
    <w:rsid w:val="00956231"/>
    <w:rsid w:val="009751B4"/>
    <w:rsid w:val="00994DAD"/>
    <w:rsid w:val="009E0704"/>
    <w:rsid w:val="00A066FC"/>
    <w:rsid w:val="00A070B5"/>
    <w:rsid w:val="00A13230"/>
    <w:rsid w:val="00A44600"/>
    <w:rsid w:val="00A758FC"/>
    <w:rsid w:val="00A815DC"/>
    <w:rsid w:val="00B039BB"/>
    <w:rsid w:val="00B12DCC"/>
    <w:rsid w:val="00B274DF"/>
    <w:rsid w:val="00B75CE6"/>
    <w:rsid w:val="00B81E27"/>
    <w:rsid w:val="00C322DE"/>
    <w:rsid w:val="00C34032"/>
    <w:rsid w:val="00C4612F"/>
    <w:rsid w:val="00CA4B49"/>
    <w:rsid w:val="00CB0AF7"/>
    <w:rsid w:val="00D0785C"/>
    <w:rsid w:val="00D701C6"/>
    <w:rsid w:val="00D93676"/>
    <w:rsid w:val="00DA12D2"/>
    <w:rsid w:val="00DF01BB"/>
    <w:rsid w:val="00DF4169"/>
    <w:rsid w:val="00DF6A84"/>
    <w:rsid w:val="00E15A42"/>
    <w:rsid w:val="00E817A8"/>
    <w:rsid w:val="00ED690E"/>
    <w:rsid w:val="00EF36A3"/>
    <w:rsid w:val="00EF78C0"/>
    <w:rsid w:val="00F37454"/>
    <w:rsid w:val="00F60C80"/>
    <w:rsid w:val="00F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06737"/>
  <w15:chartTrackingRefBased/>
  <w15:docId w15:val="{DAD3A56A-75E7-4845-9AF1-B37F3C4A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01BB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5CE6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F60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3F60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nhideWhenUsed/>
    <w:rsid w:val="003F60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3F60A5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1"/>
    <w:rsid w:val="00D93676"/>
  </w:style>
  <w:style w:type="paragraph" w:customStyle="1" w:styleId="1">
    <w:name w:val="純文字1"/>
    <w:basedOn w:val="a0"/>
    <w:rsid w:val="00D93676"/>
    <w:rPr>
      <w:rFonts w:ascii="細明體" w:eastAsia="細明體" w:hAnsi="Courier New"/>
    </w:rPr>
  </w:style>
  <w:style w:type="paragraph" w:customStyle="1" w:styleId="a">
    <w:name w:val="一"/>
    <w:rsid w:val="00D93676"/>
    <w:pPr>
      <w:numPr>
        <w:numId w:val="5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94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0944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TIAPC109-7</dc:creator>
  <cp:keywords/>
  <dc:description/>
  <cp:lastModifiedBy>詹清琇</cp:lastModifiedBy>
  <cp:revision>13</cp:revision>
  <cp:lastPrinted>2023-04-24T10:13:00Z</cp:lastPrinted>
  <dcterms:created xsi:type="dcterms:W3CDTF">2023-04-11T09:37:00Z</dcterms:created>
  <dcterms:modified xsi:type="dcterms:W3CDTF">2023-05-08T02:12:00Z</dcterms:modified>
</cp:coreProperties>
</file>